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555" w:rsidRDefault="00021555" w:rsidP="00021555">
      <w:pPr>
        <w:spacing w:line="240" w:lineRule="auto"/>
        <w:jc w:val="both"/>
        <w:rPr>
          <w:rFonts w:asciiTheme="majorBidi" w:hAnsiTheme="majorBidi" w:cstheme="majorBidi"/>
          <w:b/>
          <w:bCs/>
          <w:sz w:val="24"/>
          <w:szCs w:val="24"/>
          <w:lang w:val="en-US"/>
        </w:rPr>
      </w:pPr>
      <w:bookmarkStart w:id="0" w:name="_GoBack"/>
      <w:bookmarkEnd w:id="0"/>
      <w:r w:rsidRPr="00546373">
        <w:rPr>
          <w:rFonts w:asciiTheme="majorBidi" w:hAnsiTheme="majorBidi" w:cstheme="majorBidi"/>
          <w:b/>
          <w:bCs/>
          <w:sz w:val="24"/>
          <w:szCs w:val="24"/>
          <w:highlight w:val="lightGray"/>
          <w:lang w:val="en-US"/>
        </w:rPr>
        <w:t>Unit </w:t>
      </w:r>
      <w:r>
        <w:rPr>
          <w:rFonts w:asciiTheme="majorBidi" w:hAnsiTheme="majorBidi" w:cstheme="majorBidi"/>
          <w:b/>
          <w:bCs/>
          <w:sz w:val="24"/>
          <w:szCs w:val="24"/>
          <w:highlight w:val="lightGray"/>
          <w:lang w:val="en-US"/>
        </w:rPr>
        <w:t>17</w:t>
      </w:r>
      <w:r w:rsidRPr="00546373">
        <w:rPr>
          <w:rFonts w:asciiTheme="majorBidi" w:hAnsiTheme="majorBidi" w:cstheme="majorBidi"/>
          <w:b/>
          <w:bCs/>
          <w:sz w:val="24"/>
          <w:szCs w:val="24"/>
          <w:highlight w:val="lightGray"/>
          <w:lang w:val="en-US"/>
        </w:rPr>
        <w:t>: Trade</w:t>
      </w:r>
      <w:r w:rsidRPr="00546373">
        <w:rPr>
          <w:rFonts w:asciiTheme="majorBidi" w:hAnsiTheme="majorBidi" w:cstheme="majorBidi"/>
          <w:b/>
          <w:bCs/>
          <w:sz w:val="24"/>
          <w:szCs w:val="24"/>
          <w:lang w:val="en-US"/>
        </w:rPr>
        <w:t xml:space="preserve"> </w:t>
      </w:r>
    </w:p>
    <w:p w:rsidR="00021555" w:rsidRPr="00546373" w:rsidRDefault="00021555" w:rsidP="00021555">
      <w:pPr>
        <w:spacing w:line="240" w:lineRule="auto"/>
        <w:jc w:val="both"/>
        <w:rPr>
          <w:rFonts w:asciiTheme="majorBidi" w:hAnsiTheme="majorBidi" w:cstheme="majorBidi"/>
          <w:sz w:val="24"/>
          <w:szCs w:val="24"/>
        </w:rPr>
      </w:pPr>
      <w:r w:rsidRPr="00546373">
        <w:rPr>
          <w:noProof/>
          <w:sz w:val="24"/>
          <w:szCs w:val="24"/>
          <w:lang w:eastAsia="fr-FR"/>
        </w:rPr>
        <w:drawing>
          <wp:inline distT="0" distB="0" distL="0" distR="0" wp14:anchorId="37C1037B" wp14:editId="02AF54A9">
            <wp:extent cx="5760720" cy="2190600"/>
            <wp:effectExtent l="19050" t="0" r="0" b="0"/>
            <wp:docPr id="1" name="Image 1" descr="C:\Users\pc\Desktop\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foto.jpg"/>
                    <pic:cNvPicPr>
                      <a:picLocks noChangeAspect="1" noChangeArrowheads="1"/>
                    </pic:cNvPicPr>
                  </pic:nvPicPr>
                  <pic:blipFill>
                    <a:blip r:embed="rId6" cstate="print"/>
                    <a:srcRect/>
                    <a:stretch>
                      <a:fillRect/>
                    </a:stretch>
                  </pic:blipFill>
                  <pic:spPr bwMode="auto">
                    <a:xfrm>
                      <a:off x="0" y="0"/>
                      <a:ext cx="5760720" cy="2190600"/>
                    </a:xfrm>
                    <a:prstGeom prst="rect">
                      <a:avLst/>
                    </a:prstGeom>
                    <a:noFill/>
                    <a:ln w="9525">
                      <a:noFill/>
                      <a:miter lim="800000"/>
                      <a:headEnd/>
                      <a:tailEnd/>
                    </a:ln>
                  </pic:spPr>
                </pic:pic>
              </a:graphicData>
            </a:graphic>
          </wp:inline>
        </w:drawing>
      </w:r>
    </w:p>
    <w:p w:rsidR="00021555" w:rsidRPr="00546373" w:rsidRDefault="00021555" w:rsidP="00021555">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Here are the five famous</w:t>
      </w:r>
      <w:r>
        <w:rPr>
          <w:rFonts w:asciiTheme="majorBidi" w:hAnsiTheme="majorBidi" w:cstheme="majorBidi"/>
          <w:sz w:val="24"/>
          <w:szCs w:val="24"/>
          <w:lang w:val="en-US"/>
        </w:rPr>
        <w:t xml:space="preserve"> kinds of payments in sea transport</w:t>
      </w:r>
      <w:r w:rsidRPr="00546373">
        <w:rPr>
          <w:rFonts w:asciiTheme="majorBidi" w:hAnsiTheme="majorBidi" w:cstheme="majorBidi"/>
          <w:sz w:val="24"/>
          <w:szCs w:val="24"/>
          <w:lang w:val="en-US"/>
        </w:rPr>
        <w:t>:</w:t>
      </w:r>
    </w:p>
    <w:p w:rsidR="00021555" w:rsidRPr="00546373" w:rsidRDefault="00021555" w:rsidP="00021555">
      <w:pPr>
        <w:spacing w:line="240" w:lineRule="auto"/>
        <w:jc w:val="both"/>
        <w:rPr>
          <w:rFonts w:asciiTheme="majorBidi" w:hAnsiTheme="majorBidi" w:cstheme="majorBidi"/>
          <w:sz w:val="24"/>
          <w:szCs w:val="24"/>
          <w:lang w:val="en-US"/>
        </w:rPr>
      </w:pPr>
      <w:r w:rsidRPr="00546373">
        <w:rPr>
          <w:rFonts w:asciiTheme="majorBidi" w:hAnsiTheme="majorBidi" w:cstheme="majorBidi"/>
          <w:b/>
          <w:bCs/>
          <w:sz w:val="24"/>
          <w:szCs w:val="24"/>
          <w:u w:val="single"/>
          <w:lang w:val="en-US"/>
        </w:rPr>
        <w:t>CF (Cost and Freight):</w:t>
      </w:r>
      <w:r w:rsidRPr="00546373">
        <w:rPr>
          <w:rFonts w:asciiTheme="majorBidi" w:hAnsiTheme="majorBidi" w:cstheme="majorBidi"/>
          <w:sz w:val="24"/>
          <w:szCs w:val="24"/>
          <w:lang w:val="en-US"/>
        </w:rPr>
        <w:t xml:space="preserve"> The price paid to the seller includes packing and freight to the port of destination, but does not include insurance. The buyer must pay this.</w:t>
      </w:r>
    </w:p>
    <w:p w:rsidR="00021555" w:rsidRPr="00546373" w:rsidRDefault="00021555" w:rsidP="00021555">
      <w:pPr>
        <w:spacing w:line="240" w:lineRule="auto"/>
        <w:jc w:val="both"/>
        <w:rPr>
          <w:rFonts w:asciiTheme="majorBidi" w:hAnsiTheme="majorBidi" w:cstheme="majorBidi"/>
          <w:sz w:val="24"/>
          <w:szCs w:val="24"/>
          <w:lang w:val="en-US"/>
        </w:rPr>
      </w:pPr>
      <w:r w:rsidRPr="00546373">
        <w:rPr>
          <w:rFonts w:asciiTheme="majorBidi" w:hAnsiTheme="majorBidi" w:cstheme="majorBidi"/>
          <w:b/>
          <w:bCs/>
          <w:sz w:val="24"/>
          <w:szCs w:val="24"/>
          <w:u w:val="single"/>
          <w:lang w:val="en-US"/>
        </w:rPr>
        <w:t>CIF (Cost, insurance and freight)</w:t>
      </w:r>
      <w:r w:rsidRPr="00546373">
        <w:rPr>
          <w:rFonts w:asciiTheme="majorBidi" w:hAnsiTheme="majorBidi" w:cstheme="majorBidi"/>
          <w:sz w:val="24"/>
          <w:szCs w:val="24"/>
          <w:lang w:val="en-US"/>
        </w:rPr>
        <w:t>: the seller’s price includes all charges and risks up to the point where the ship carrying the goods arrives at the named port of destination.</w:t>
      </w:r>
    </w:p>
    <w:p w:rsidR="00021555" w:rsidRPr="00546373" w:rsidRDefault="00021555" w:rsidP="00021555">
      <w:pPr>
        <w:spacing w:line="240" w:lineRule="auto"/>
        <w:jc w:val="both"/>
        <w:rPr>
          <w:rFonts w:asciiTheme="majorBidi" w:hAnsiTheme="majorBidi" w:cstheme="majorBidi"/>
          <w:sz w:val="24"/>
          <w:szCs w:val="24"/>
          <w:lang w:val="en-US"/>
        </w:rPr>
      </w:pPr>
      <w:r w:rsidRPr="00546373">
        <w:rPr>
          <w:rFonts w:asciiTheme="majorBidi" w:hAnsiTheme="majorBidi" w:cstheme="majorBidi"/>
          <w:b/>
          <w:bCs/>
          <w:sz w:val="24"/>
          <w:szCs w:val="24"/>
          <w:u w:val="single"/>
          <w:lang w:val="en-US"/>
        </w:rPr>
        <w:t>Ex-works (or Ex-factory):</w:t>
      </w:r>
      <w:r w:rsidRPr="00546373">
        <w:rPr>
          <w:rFonts w:asciiTheme="majorBidi" w:hAnsiTheme="majorBidi" w:cstheme="majorBidi"/>
          <w:sz w:val="24"/>
          <w:szCs w:val="24"/>
          <w:lang w:val="en-US"/>
        </w:rPr>
        <w:t xml:space="preserve"> the price excludes all delivery charges. The buyer has to arrange for collection of the goods at the works or factory, and pays all expenses such as loading, insurance and carriage.</w:t>
      </w:r>
    </w:p>
    <w:p w:rsidR="00021555" w:rsidRPr="00546373" w:rsidRDefault="00021555" w:rsidP="00021555">
      <w:pPr>
        <w:spacing w:line="240" w:lineRule="auto"/>
        <w:jc w:val="both"/>
        <w:rPr>
          <w:rFonts w:asciiTheme="majorBidi" w:hAnsiTheme="majorBidi" w:cstheme="majorBidi"/>
          <w:sz w:val="24"/>
          <w:szCs w:val="24"/>
          <w:lang w:val="en-US"/>
        </w:rPr>
      </w:pPr>
      <w:r w:rsidRPr="00546373">
        <w:rPr>
          <w:rFonts w:asciiTheme="majorBidi" w:hAnsiTheme="majorBidi" w:cstheme="majorBidi"/>
          <w:b/>
          <w:bCs/>
          <w:sz w:val="24"/>
          <w:szCs w:val="24"/>
          <w:u w:val="single"/>
          <w:lang w:val="en-US"/>
        </w:rPr>
        <w:t>FAS (Free alongside ship) or Franco quay:</w:t>
      </w:r>
      <w:r w:rsidRPr="00546373">
        <w:rPr>
          <w:rFonts w:asciiTheme="majorBidi" w:hAnsiTheme="majorBidi" w:cstheme="majorBidi"/>
          <w:sz w:val="24"/>
          <w:szCs w:val="24"/>
          <w:lang w:val="en-US"/>
        </w:rPr>
        <w:t xml:space="preserve"> the seller’s price includes all charges and risks up to the point where the goods are placed alongside the named ship ready to be taken on board.</w:t>
      </w:r>
    </w:p>
    <w:p w:rsidR="00021555" w:rsidRPr="00546373" w:rsidRDefault="00021555" w:rsidP="00021555">
      <w:pPr>
        <w:spacing w:line="240" w:lineRule="auto"/>
        <w:jc w:val="both"/>
        <w:rPr>
          <w:rFonts w:asciiTheme="majorBidi" w:hAnsiTheme="majorBidi" w:cstheme="majorBidi"/>
          <w:sz w:val="24"/>
          <w:szCs w:val="24"/>
          <w:lang w:val="en-US"/>
        </w:rPr>
      </w:pPr>
      <w:r w:rsidRPr="00546373">
        <w:rPr>
          <w:rFonts w:asciiTheme="majorBidi" w:hAnsiTheme="majorBidi" w:cstheme="majorBidi"/>
          <w:b/>
          <w:bCs/>
          <w:sz w:val="24"/>
          <w:szCs w:val="24"/>
          <w:u w:val="single"/>
          <w:lang w:val="en-US"/>
        </w:rPr>
        <w:t>FOB (Free on Board):</w:t>
      </w:r>
      <w:r w:rsidRPr="00546373">
        <w:rPr>
          <w:rFonts w:asciiTheme="majorBidi" w:hAnsiTheme="majorBidi" w:cstheme="majorBidi"/>
          <w:sz w:val="24"/>
          <w:szCs w:val="24"/>
          <w:lang w:val="en-US"/>
        </w:rPr>
        <w:t xml:space="preserve"> the seller’s price includes all charges and risks up to the point where the seller delivers the goods on board at the named port of shipment. From that point, the buyer bears the charges and risks.</w:t>
      </w:r>
    </w:p>
    <w:p w:rsidR="00021555" w:rsidRPr="00546373" w:rsidRDefault="00021555" w:rsidP="00021555">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u w:val="single"/>
          <w:lang w:val="en-US"/>
        </w:rPr>
        <w:t>Exercise 1:</w:t>
      </w:r>
      <w:r w:rsidRPr="00546373">
        <w:rPr>
          <w:rFonts w:asciiTheme="majorBidi" w:hAnsiTheme="majorBidi" w:cstheme="majorBidi"/>
          <w:sz w:val="24"/>
          <w:szCs w:val="24"/>
          <w:lang w:val="en-US"/>
        </w:rPr>
        <w:t xml:space="preserve"> according to the terms of payments below, put them in order from 1 to 5, from the best term for the buyer to the worst one.</w:t>
      </w:r>
    </w:p>
    <w:p w:rsidR="00021555" w:rsidRPr="00546373" w:rsidRDefault="00021555" w:rsidP="00021555">
      <w:pPr>
        <w:pStyle w:val="Paragraphedeliste"/>
        <w:numPr>
          <w:ilvl w:val="0"/>
          <w:numId w:val="1"/>
        </w:numPr>
        <w:spacing w:line="240" w:lineRule="auto"/>
        <w:jc w:val="both"/>
        <w:rPr>
          <w:rFonts w:asciiTheme="majorBidi" w:hAnsiTheme="majorBidi" w:cstheme="majorBidi"/>
          <w:sz w:val="24"/>
          <w:szCs w:val="24"/>
        </w:rPr>
      </w:pPr>
      <w:r w:rsidRPr="00546373">
        <w:rPr>
          <w:rFonts w:asciiTheme="majorBidi" w:hAnsiTheme="majorBidi" w:cstheme="majorBidi"/>
          <w:sz w:val="24"/>
          <w:szCs w:val="24"/>
        </w:rPr>
        <w:t>CIF</w:t>
      </w:r>
    </w:p>
    <w:p w:rsidR="00021555" w:rsidRPr="00546373" w:rsidRDefault="00021555" w:rsidP="00021555">
      <w:pPr>
        <w:pStyle w:val="Paragraphedeliste"/>
        <w:numPr>
          <w:ilvl w:val="0"/>
          <w:numId w:val="1"/>
        </w:numPr>
        <w:spacing w:line="240" w:lineRule="auto"/>
        <w:jc w:val="both"/>
        <w:rPr>
          <w:rFonts w:asciiTheme="majorBidi" w:hAnsiTheme="majorBidi" w:cstheme="majorBidi"/>
          <w:sz w:val="24"/>
          <w:szCs w:val="24"/>
        </w:rPr>
      </w:pPr>
    </w:p>
    <w:p w:rsidR="00021555" w:rsidRPr="00546373" w:rsidRDefault="00021555" w:rsidP="00021555">
      <w:pPr>
        <w:pStyle w:val="Paragraphedeliste"/>
        <w:numPr>
          <w:ilvl w:val="0"/>
          <w:numId w:val="1"/>
        </w:numPr>
        <w:spacing w:line="240" w:lineRule="auto"/>
        <w:jc w:val="both"/>
        <w:rPr>
          <w:rFonts w:asciiTheme="majorBidi" w:hAnsiTheme="majorBidi" w:cstheme="majorBidi"/>
          <w:color w:val="F79646" w:themeColor="accent6"/>
          <w:sz w:val="24"/>
          <w:szCs w:val="24"/>
        </w:rPr>
      </w:pPr>
    </w:p>
    <w:p w:rsidR="00021555" w:rsidRPr="00546373" w:rsidRDefault="00021555" w:rsidP="00021555">
      <w:pPr>
        <w:pStyle w:val="Paragraphedeliste"/>
        <w:numPr>
          <w:ilvl w:val="0"/>
          <w:numId w:val="1"/>
        </w:numPr>
        <w:spacing w:line="240" w:lineRule="auto"/>
        <w:jc w:val="both"/>
        <w:rPr>
          <w:rFonts w:asciiTheme="majorBidi" w:hAnsiTheme="majorBidi" w:cstheme="majorBidi"/>
          <w:color w:val="F79646" w:themeColor="accent6"/>
          <w:sz w:val="24"/>
          <w:szCs w:val="24"/>
        </w:rPr>
      </w:pPr>
    </w:p>
    <w:p w:rsidR="00021555" w:rsidRPr="00546373" w:rsidRDefault="00021555" w:rsidP="00021555">
      <w:pPr>
        <w:pStyle w:val="Paragraphedeliste"/>
        <w:numPr>
          <w:ilvl w:val="0"/>
          <w:numId w:val="1"/>
        </w:numPr>
        <w:spacing w:line="240" w:lineRule="auto"/>
        <w:jc w:val="both"/>
        <w:rPr>
          <w:rFonts w:asciiTheme="majorBidi" w:hAnsiTheme="majorBidi" w:cstheme="majorBidi"/>
          <w:color w:val="F79646" w:themeColor="accent6"/>
          <w:sz w:val="24"/>
          <w:szCs w:val="24"/>
        </w:rPr>
      </w:pPr>
    </w:p>
    <w:p w:rsidR="00021555" w:rsidRPr="00546373" w:rsidRDefault="00021555" w:rsidP="00021555">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u w:val="single"/>
          <w:lang w:val="en-US"/>
        </w:rPr>
        <w:t>Exercise 2:</w:t>
      </w:r>
      <w:r w:rsidRPr="00546373">
        <w:rPr>
          <w:rFonts w:asciiTheme="majorBidi" w:hAnsiTheme="majorBidi" w:cstheme="majorBidi"/>
          <w:sz w:val="24"/>
          <w:szCs w:val="24"/>
          <w:lang w:val="en-US"/>
        </w:rPr>
        <w:t xml:space="preserve"> when trading, one needs to know many items related to transactions. Here are some of them, put each one in the correct box below.</w:t>
      </w:r>
    </w:p>
    <w:p w:rsidR="00021555" w:rsidRPr="00546373" w:rsidRDefault="00021555" w:rsidP="00021555">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Air freight – barrels – bill of exchange – certificate of value and origin – containers – crates – customs officer – docks – freight forwarding agent – import duty – import license – insurance broker – insurance premium – letter of credit – port of arrival – port of origin – rail freight – sacks – sales invoice – sea freight – surcharge – warehouse.</w:t>
      </w:r>
    </w:p>
    <w:tbl>
      <w:tblPr>
        <w:tblStyle w:val="Grilledutableau"/>
        <w:tblW w:w="0" w:type="auto"/>
        <w:tblLook w:val="04A0" w:firstRow="1" w:lastRow="0" w:firstColumn="1" w:lastColumn="0" w:noHBand="0" w:noVBand="1"/>
      </w:tblPr>
      <w:tblGrid>
        <w:gridCol w:w="1583"/>
        <w:gridCol w:w="1547"/>
        <w:gridCol w:w="1569"/>
        <w:gridCol w:w="1559"/>
        <w:gridCol w:w="1518"/>
        <w:gridCol w:w="1512"/>
      </w:tblGrid>
      <w:tr w:rsidR="00021555" w:rsidRPr="00546373" w:rsidTr="00F84A54">
        <w:tc>
          <w:tcPr>
            <w:tcW w:w="1629" w:type="dxa"/>
          </w:tcPr>
          <w:p w:rsidR="00021555" w:rsidRPr="00546373" w:rsidRDefault="00021555" w:rsidP="00F84A54">
            <w:pPr>
              <w:jc w:val="both"/>
              <w:rPr>
                <w:rFonts w:asciiTheme="majorBidi" w:hAnsiTheme="majorBidi" w:cstheme="majorBidi"/>
                <w:sz w:val="24"/>
                <w:szCs w:val="24"/>
              </w:rPr>
            </w:pPr>
            <w:r w:rsidRPr="00546373">
              <w:rPr>
                <w:rFonts w:asciiTheme="majorBidi" w:hAnsiTheme="majorBidi" w:cstheme="majorBidi"/>
                <w:sz w:val="24"/>
                <w:szCs w:val="24"/>
              </w:rPr>
              <w:t>Documents</w:t>
            </w:r>
          </w:p>
        </w:tc>
        <w:tc>
          <w:tcPr>
            <w:tcW w:w="1629" w:type="dxa"/>
          </w:tcPr>
          <w:p w:rsidR="00021555" w:rsidRPr="00546373" w:rsidRDefault="00021555" w:rsidP="00F84A54">
            <w:pPr>
              <w:jc w:val="both"/>
              <w:rPr>
                <w:rFonts w:asciiTheme="majorBidi" w:hAnsiTheme="majorBidi" w:cstheme="majorBidi"/>
                <w:sz w:val="24"/>
                <w:szCs w:val="24"/>
              </w:rPr>
            </w:pPr>
            <w:proofErr w:type="spellStart"/>
            <w:r w:rsidRPr="00546373">
              <w:rPr>
                <w:rFonts w:asciiTheme="majorBidi" w:hAnsiTheme="majorBidi" w:cstheme="majorBidi"/>
                <w:sz w:val="24"/>
                <w:szCs w:val="24"/>
              </w:rPr>
              <w:t>Means</w:t>
            </w:r>
            <w:proofErr w:type="spellEnd"/>
            <w:r w:rsidRPr="00546373">
              <w:rPr>
                <w:rFonts w:asciiTheme="majorBidi" w:hAnsiTheme="majorBidi" w:cstheme="majorBidi"/>
                <w:sz w:val="24"/>
                <w:szCs w:val="24"/>
              </w:rPr>
              <w:t xml:space="preserve"> of </w:t>
            </w:r>
            <w:r w:rsidRPr="00546373">
              <w:rPr>
                <w:rFonts w:asciiTheme="majorBidi" w:hAnsiTheme="majorBidi" w:cstheme="majorBidi"/>
                <w:sz w:val="24"/>
                <w:szCs w:val="24"/>
              </w:rPr>
              <w:lastRenderedPageBreak/>
              <w:t>transport</w:t>
            </w:r>
          </w:p>
        </w:tc>
        <w:tc>
          <w:tcPr>
            <w:tcW w:w="1630" w:type="dxa"/>
          </w:tcPr>
          <w:p w:rsidR="00021555" w:rsidRPr="00546373" w:rsidRDefault="00021555" w:rsidP="00F84A54">
            <w:pPr>
              <w:jc w:val="both"/>
              <w:rPr>
                <w:rFonts w:asciiTheme="majorBidi" w:hAnsiTheme="majorBidi" w:cstheme="majorBidi"/>
                <w:sz w:val="24"/>
                <w:szCs w:val="24"/>
              </w:rPr>
            </w:pPr>
            <w:r w:rsidRPr="00546373">
              <w:rPr>
                <w:rFonts w:asciiTheme="majorBidi" w:hAnsiTheme="majorBidi" w:cstheme="majorBidi"/>
                <w:sz w:val="24"/>
                <w:szCs w:val="24"/>
              </w:rPr>
              <w:lastRenderedPageBreak/>
              <w:t>Packaging</w:t>
            </w:r>
          </w:p>
        </w:tc>
        <w:tc>
          <w:tcPr>
            <w:tcW w:w="1630" w:type="dxa"/>
          </w:tcPr>
          <w:p w:rsidR="00021555" w:rsidRPr="00546373" w:rsidRDefault="00021555" w:rsidP="00F84A54">
            <w:pPr>
              <w:jc w:val="both"/>
              <w:rPr>
                <w:rFonts w:asciiTheme="majorBidi" w:hAnsiTheme="majorBidi" w:cstheme="majorBidi"/>
                <w:sz w:val="24"/>
                <w:szCs w:val="24"/>
              </w:rPr>
            </w:pPr>
            <w:proofErr w:type="spellStart"/>
            <w:r w:rsidRPr="00546373">
              <w:rPr>
                <w:rFonts w:asciiTheme="majorBidi" w:hAnsiTheme="majorBidi" w:cstheme="majorBidi"/>
                <w:sz w:val="24"/>
                <w:szCs w:val="24"/>
              </w:rPr>
              <w:t>Payments</w:t>
            </w:r>
            <w:proofErr w:type="spellEnd"/>
          </w:p>
        </w:tc>
        <w:tc>
          <w:tcPr>
            <w:tcW w:w="1630" w:type="dxa"/>
          </w:tcPr>
          <w:p w:rsidR="00021555" w:rsidRPr="00546373" w:rsidRDefault="00021555" w:rsidP="00F84A54">
            <w:pPr>
              <w:jc w:val="both"/>
              <w:rPr>
                <w:rFonts w:asciiTheme="majorBidi" w:hAnsiTheme="majorBidi" w:cstheme="majorBidi"/>
                <w:sz w:val="24"/>
                <w:szCs w:val="24"/>
              </w:rPr>
            </w:pPr>
            <w:r w:rsidRPr="00546373">
              <w:rPr>
                <w:rFonts w:asciiTheme="majorBidi" w:hAnsiTheme="majorBidi" w:cstheme="majorBidi"/>
                <w:sz w:val="24"/>
                <w:szCs w:val="24"/>
              </w:rPr>
              <w:t>People</w:t>
            </w:r>
          </w:p>
        </w:tc>
        <w:tc>
          <w:tcPr>
            <w:tcW w:w="1630" w:type="dxa"/>
          </w:tcPr>
          <w:p w:rsidR="00021555" w:rsidRPr="00546373" w:rsidRDefault="00021555" w:rsidP="00F84A54">
            <w:pPr>
              <w:jc w:val="both"/>
              <w:rPr>
                <w:rFonts w:asciiTheme="majorBidi" w:hAnsiTheme="majorBidi" w:cstheme="majorBidi"/>
                <w:sz w:val="24"/>
                <w:szCs w:val="24"/>
              </w:rPr>
            </w:pPr>
            <w:r w:rsidRPr="00546373">
              <w:rPr>
                <w:rFonts w:asciiTheme="majorBidi" w:hAnsiTheme="majorBidi" w:cstheme="majorBidi"/>
                <w:sz w:val="24"/>
                <w:szCs w:val="24"/>
              </w:rPr>
              <w:t>Places</w:t>
            </w:r>
          </w:p>
        </w:tc>
      </w:tr>
      <w:tr w:rsidR="00021555" w:rsidRPr="00546373" w:rsidTr="00F84A54">
        <w:tc>
          <w:tcPr>
            <w:tcW w:w="1629" w:type="dxa"/>
          </w:tcPr>
          <w:p w:rsidR="00021555" w:rsidRPr="00546373" w:rsidRDefault="00021555" w:rsidP="00F84A54">
            <w:pPr>
              <w:jc w:val="both"/>
              <w:rPr>
                <w:rFonts w:asciiTheme="majorBidi" w:hAnsiTheme="majorBidi" w:cstheme="majorBidi"/>
                <w:color w:val="F79646" w:themeColor="accent6"/>
                <w:sz w:val="24"/>
                <w:szCs w:val="24"/>
              </w:rPr>
            </w:pPr>
          </w:p>
          <w:p w:rsidR="00021555" w:rsidRPr="00546373" w:rsidRDefault="00021555" w:rsidP="00F84A54">
            <w:pPr>
              <w:jc w:val="both"/>
              <w:rPr>
                <w:rFonts w:asciiTheme="majorBidi" w:hAnsiTheme="majorBidi" w:cstheme="majorBidi"/>
                <w:color w:val="F79646" w:themeColor="accent6"/>
                <w:sz w:val="24"/>
                <w:szCs w:val="24"/>
              </w:rPr>
            </w:pPr>
          </w:p>
          <w:p w:rsidR="00021555" w:rsidRPr="00546373" w:rsidRDefault="00021555" w:rsidP="00F84A54">
            <w:pPr>
              <w:jc w:val="both"/>
              <w:rPr>
                <w:rFonts w:asciiTheme="majorBidi" w:hAnsiTheme="majorBidi" w:cstheme="majorBidi"/>
                <w:color w:val="F79646" w:themeColor="accent6"/>
                <w:sz w:val="24"/>
                <w:szCs w:val="24"/>
              </w:rPr>
            </w:pPr>
          </w:p>
        </w:tc>
        <w:tc>
          <w:tcPr>
            <w:tcW w:w="1629" w:type="dxa"/>
          </w:tcPr>
          <w:p w:rsidR="00021555" w:rsidRPr="00546373" w:rsidRDefault="00021555" w:rsidP="00F84A54">
            <w:pPr>
              <w:jc w:val="both"/>
              <w:rPr>
                <w:rFonts w:asciiTheme="majorBidi" w:hAnsiTheme="majorBidi" w:cstheme="majorBidi"/>
                <w:color w:val="F79646" w:themeColor="accent6"/>
                <w:sz w:val="24"/>
                <w:szCs w:val="24"/>
                <w:lang w:val="en-US"/>
              </w:rPr>
            </w:pPr>
          </w:p>
        </w:tc>
        <w:tc>
          <w:tcPr>
            <w:tcW w:w="1630" w:type="dxa"/>
          </w:tcPr>
          <w:p w:rsidR="00021555" w:rsidRPr="00546373" w:rsidRDefault="00021555" w:rsidP="00F84A54">
            <w:pPr>
              <w:jc w:val="both"/>
              <w:rPr>
                <w:rFonts w:asciiTheme="majorBidi" w:hAnsiTheme="majorBidi" w:cstheme="majorBidi"/>
                <w:color w:val="F79646" w:themeColor="accent6"/>
                <w:sz w:val="24"/>
                <w:szCs w:val="24"/>
              </w:rPr>
            </w:pPr>
          </w:p>
        </w:tc>
        <w:tc>
          <w:tcPr>
            <w:tcW w:w="1630" w:type="dxa"/>
          </w:tcPr>
          <w:p w:rsidR="00021555" w:rsidRPr="00546373" w:rsidRDefault="00021555" w:rsidP="00F84A54">
            <w:pPr>
              <w:jc w:val="both"/>
              <w:rPr>
                <w:rFonts w:asciiTheme="majorBidi" w:hAnsiTheme="majorBidi" w:cstheme="majorBidi"/>
                <w:color w:val="F79646" w:themeColor="accent6"/>
                <w:sz w:val="24"/>
                <w:szCs w:val="24"/>
              </w:rPr>
            </w:pPr>
          </w:p>
        </w:tc>
        <w:tc>
          <w:tcPr>
            <w:tcW w:w="1630" w:type="dxa"/>
          </w:tcPr>
          <w:p w:rsidR="00021555" w:rsidRPr="00546373" w:rsidRDefault="00021555" w:rsidP="00F84A54">
            <w:pPr>
              <w:jc w:val="both"/>
              <w:rPr>
                <w:rFonts w:asciiTheme="majorBidi" w:hAnsiTheme="majorBidi" w:cstheme="majorBidi"/>
                <w:color w:val="F79646" w:themeColor="accent6"/>
                <w:sz w:val="24"/>
                <w:szCs w:val="24"/>
                <w:lang w:val="en-US"/>
              </w:rPr>
            </w:pPr>
          </w:p>
        </w:tc>
        <w:tc>
          <w:tcPr>
            <w:tcW w:w="1630" w:type="dxa"/>
          </w:tcPr>
          <w:p w:rsidR="00021555" w:rsidRPr="00546373" w:rsidRDefault="00021555" w:rsidP="00F84A54">
            <w:pPr>
              <w:jc w:val="both"/>
              <w:rPr>
                <w:rFonts w:asciiTheme="majorBidi" w:hAnsiTheme="majorBidi" w:cstheme="majorBidi"/>
                <w:color w:val="F79646" w:themeColor="accent6"/>
                <w:sz w:val="24"/>
                <w:szCs w:val="24"/>
              </w:rPr>
            </w:pPr>
          </w:p>
        </w:tc>
      </w:tr>
    </w:tbl>
    <w:p w:rsidR="00E57FF6" w:rsidRDefault="00E57FF6"/>
    <w:sectPr w:rsidR="00E57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D5593"/>
    <w:multiLevelType w:val="hybridMultilevel"/>
    <w:tmpl w:val="DE3EB506"/>
    <w:lvl w:ilvl="0" w:tplc="4A0AC3DC">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15"/>
    <w:rsid w:val="00021555"/>
    <w:rsid w:val="009F3915"/>
    <w:rsid w:val="00E57F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5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1555"/>
    <w:pPr>
      <w:ind w:left="720"/>
      <w:contextualSpacing/>
    </w:pPr>
  </w:style>
  <w:style w:type="table" w:styleId="Grilledutableau">
    <w:name w:val="Table Grid"/>
    <w:basedOn w:val="TableauNormal"/>
    <w:uiPriority w:val="39"/>
    <w:rsid w:val="00021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215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15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5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1555"/>
    <w:pPr>
      <w:ind w:left="720"/>
      <w:contextualSpacing/>
    </w:pPr>
  </w:style>
  <w:style w:type="table" w:styleId="Grilledutableau">
    <w:name w:val="Table Grid"/>
    <w:basedOn w:val="TableauNormal"/>
    <w:uiPriority w:val="39"/>
    <w:rsid w:val="00021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215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15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1480</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2024-12-20T21:46:00Z</dcterms:created>
  <dcterms:modified xsi:type="dcterms:W3CDTF">2024-12-20T21:46:00Z</dcterms:modified>
</cp:coreProperties>
</file>