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F6" w:rsidRDefault="001C36F6" w:rsidP="001C36F6">
      <w:pPr>
        <w:spacing w:line="240" w:lineRule="auto"/>
        <w:jc w:val="both"/>
        <w:rPr>
          <w:rFonts w:asciiTheme="majorBidi" w:eastAsia="Times New Roman" w:hAnsiTheme="majorBidi" w:cstheme="majorBidi"/>
          <w:b/>
          <w:bCs/>
          <w:color w:val="212121"/>
          <w:sz w:val="36"/>
          <w:szCs w:val="36"/>
          <w:lang w:val="en-US"/>
        </w:rPr>
      </w:pPr>
      <w:r>
        <w:rPr>
          <w:rFonts w:asciiTheme="majorBidi" w:eastAsia="Times New Roman" w:hAnsiTheme="majorBidi" w:cstheme="majorBidi"/>
          <w:b/>
          <w:bCs/>
          <w:color w:val="212121"/>
          <w:sz w:val="36"/>
          <w:szCs w:val="36"/>
          <w:highlight w:val="lightGray"/>
          <w:lang w:val="en-US"/>
        </w:rPr>
        <w:t>Unit 2: Budgeting</w:t>
      </w:r>
    </w:p>
    <w:p w:rsidR="001C36F6" w:rsidRDefault="001C36F6" w:rsidP="001C36F6">
      <w:pPr>
        <w:spacing w:line="240" w:lineRule="auto"/>
        <w:jc w:val="right"/>
        <w:rPr>
          <w:rFonts w:asciiTheme="majorBidi" w:eastAsia="Times New Roman" w:hAnsiTheme="majorBidi" w:cstheme="majorBidi"/>
          <w:color w:val="212121"/>
          <w:sz w:val="28"/>
          <w:szCs w:val="28"/>
          <w:lang w:val="en-US"/>
        </w:rPr>
      </w:pPr>
    </w:p>
    <w:p w:rsidR="001C36F6" w:rsidRDefault="001C36F6" w:rsidP="001C36F6">
      <w:pPr>
        <w:spacing w:line="240" w:lineRule="auto"/>
        <w:jc w:val="right"/>
        <w:rPr>
          <w:rFonts w:asciiTheme="majorBidi" w:eastAsia="Times New Roman" w:hAnsiTheme="majorBidi" w:cstheme="majorBidi"/>
          <w:color w:val="212121"/>
          <w:lang w:val="en-US"/>
        </w:rPr>
      </w:pPr>
      <w:r>
        <w:rPr>
          <w:rFonts w:asciiTheme="majorBidi" w:eastAsia="Times New Roman" w:hAnsiTheme="majorBidi" w:cstheme="majorBidi"/>
          <w:color w:val="212121"/>
          <w:lang w:val="en-US"/>
        </w:rPr>
        <w:t>“By failing to plan, you’re planning to fail”</w:t>
      </w:r>
    </w:p>
    <w:p w:rsidR="001C36F6" w:rsidRDefault="001C36F6" w:rsidP="001C36F6">
      <w:pPr>
        <w:spacing w:line="240" w:lineRule="auto"/>
        <w:jc w:val="right"/>
        <w:rPr>
          <w:rFonts w:asciiTheme="majorBidi" w:eastAsia="Times New Roman" w:hAnsiTheme="majorBidi" w:cstheme="majorBidi"/>
          <w:lang w:val="en-US"/>
        </w:rPr>
      </w:pPr>
      <w:r>
        <w:rPr>
          <w:rFonts w:asciiTheme="majorBidi" w:eastAsia="Times New Roman" w:hAnsiTheme="majorBidi" w:cstheme="majorBidi"/>
          <w:lang w:val="en-US"/>
        </w:rPr>
        <w:t>Benjamin Franklin, Founding father of the United States, 1706-1790</w:t>
      </w:r>
    </w:p>
    <w:p w:rsidR="001C36F6" w:rsidRDefault="001C36F6" w:rsidP="001C36F6">
      <w:pPr>
        <w:spacing w:line="240" w:lineRule="auto"/>
        <w:rPr>
          <w:rFonts w:asciiTheme="majorBidi" w:eastAsia="Times New Roman" w:hAnsiTheme="majorBidi" w:cstheme="majorBidi"/>
          <w:color w:val="212121"/>
          <w:lang w:val="en-US"/>
        </w:rPr>
      </w:pPr>
    </w:p>
    <w:p w:rsidR="001C36F6" w:rsidRDefault="001C36F6" w:rsidP="001C36F6">
      <w:pPr>
        <w:spacing w:line="240" w:lineRule="auto"/>
        <w:rPr>
          <w:rFonts w:asciiTheme="majorBidi" w:eastAsia="Times New Roman" w:hAnsiTheme="majorBidi" w:cstheme="majorBidi"/>
          <w:color w:val="212121"/>
          <w:sz w:val="28"/>
          <w:szCs w:val="28"/>
          <w:lang w:val="en-US"/>
        </w:rPr>
      </w:pPr>
    </w:p>
    <w:p w:rsidR="001C36F6" w:rsidRDefault="001C36F6" w:rsidP="001C36F6">
      <w:pPr>
        <w:spacing w:line="240" w:lineRule="auto"/>
        <w:ind w:firstLine="567"/>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Budgeting is the process by which a company plans its income and expenditure over a given period, usually a year.</w:t>
      </w:r>
    </w:p>
    <w:p w:rsidR="001C36F6" w:rsidRDefault="001C36F6" w:rsidP="001C36F6">
      <w:pPr>
        <w:spacing w:line="240" w:lineRule="auto"/>
        <w:ind w:firstLine="567"/>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 xml:space="preserve">The process begins by estimating monthly sales, taking into account only actual cash receipts. Then periodic cash outflows are estimated: salaries, supplier payments, </w:t>
      </w:r>
      <w:proofErr w:type="gramStart"/>
      <w:r>
        <w:rPr>
          <w:rFonts w:asciiTheme="majorBidi" w:eastAsia="Times New Roman" w:hAnsiTheme="majorBidi" w:cstheme="majorBidi"/>
          <w:color w:val="212121"/>
          <w:sz w:val="26"/>
          <w:szCs w:val="26"/>
          <w:lang w:val="en-US"/>
        </w:rPr>
        <w:t>loan</w:t>
      </w:r>
      <w:proofErr w:type="gramEnd"/>
      <w:r>
        <w:rPr>
          <w:rFonts w:asciiTheme="majorBidi" w:eastAsia="Times New Roman" w:hAnsiTheme="majorBidi" w:cstheme="majorBidi"/>
          <w:color w:val="212121"/>
          <w:sz w:val="26"/>
          <w:szCs w:val="26"/>
          <w:lang w:val="en-US"/>
        </w:rPr>
        <w:t xml:space="preserve"> repayments, taxes, rent…. If the company plans to sell financial securities or another asset such as equipment, or if it plans to acquire a new asset, these two actions will generate cash </w:t>
      </w:r>
      <w:r>
        <w:rPr>
          <w:rFonts w:asciiTheme="majorBidi" w:eastAsia="Times New Roman" w:hAnsiTheme="majorBidi" w:cstheme="majorBidi"/>
          <w:b/>
          <w:bCs/>
          <w:color w:val="212121"/>
          <w:sz w:val="26"/>
          <w:szCs w:val="26"/>
          <w:lang w:val="en-US"/>
        </w:rPr>
        <w:t>inflows</w:t>
      </w:r>
      <w:r>
        <w:rPr>
          <w:rFonts w:asciiTheme="majorBidi" w:eastAsia="Times New Roman" w:hAnsiTheme="majorBidi" w:cstheme="majorBidi"/>
          <w:color w:val="212121"/>
          <w:sz w:val="26"/>
          <w:szCs w:val="26"/>
          <w:lang w:val="en-US"/>
        </w:rPr>
        <w:t xml:space="preserve"> or </w:t>
      </w:r>
      <w:r>
        <w:rPr>
          <w:rFonts w:asciiTheme="majorBidi" w:eastAsia="Times New Roman" w:hAnsiTheme="majorBidi" w:cstheme="majorBidi"/>
          <w:b/>
          <w:bCs/>
          <w:color w:val="212121"/>
          <w:sz w:val="26"/>
          <w:szCs w:val="26"/>
          <w:lang w:val="en-US"/>
        </w:rPr>
        <w:t>outflows</w:t>
      </w:r>
      <w:r>
        <w:rPr>
          <w:rFonts w:asciiTheme="majorBidi" w:eastAsia="Times New Roman" w:hAnsiTheme="majorBidi" w:cstheme="majorBidi"/>
          <w:color w:val="212121"/>
          <w:sz w:val="26"/>
          <w:szCs w:val="26"/>
          <w:lang w:val="en-US"/>
        </w:rPr>
        <w:t xml:space="preserve"> that must be included in the budget.</w:t>
      </w:r>
    </w:p>
    <w:p w:rsidR="001C36F6" w:rsidRDefault="001C36F6" w:rsidP="001C36F6">
      <w:pPr>
        <w:spacing w:line="240" w:lineRule="auto"/>
        <w:ind w:firstLine="567"/>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 xml:space="preserve">The reconciliation of cash inflows and outflows for the period gives the </w:t>
      </w:r>
      <w:r>
        <w:rPr>
          <w:rFonts w:asciiTheme="majorBidi" w:eastAsia="Times New Roman" w:hAnsiTheme="majorBidi" w:cstheme="majorBidi"/>
          <w:b/>
          <w:bCs/>
          <w:color w:val="212121"/>
          <w:sz w:val="26"/>
          <w:szCs w:val="26"/>
          <w:lang w:val="en-US"/>
        </w:rPr>
        <w:t>cash balance</w:t>
      </w:r>
      <w:r>
        <w:rPr>
          <w:rFonts w:asciiTheme="majorBidi" w:eastAsia="Times New Roman" w:hAnsiTheme="majorBidi" w:cstheme="majorBidi"/>
          <w:color w:val="212121"/>
          <w:sz w:val="26"/>
          <w:szCs w:val="26"/>
          <w:lang w:val="en-US"/>
        </w:rPr>
        <w:t>, and the aim is to plan expenditure carefully to avoid a negative balance. Conversely, if the budget shows positive cash balances, the company must ensure that it makes the most of these short-term savings by investing in the purchase of financial securities.</w:t>
      </w:r>
    </w:p>
    <w:p w:rsidR="001C36F6" w:rsidRDefault="001C36F6" w:rsidP="001C36F6">
      <w:pPr>
        <w:spacing w:line="240" w:lineRule="auto"/>
        <w:ind w:firstLine="567"/>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 xml:space="preserve">This is the main task of the company's finance department. Good planning is essential to avoid recourse to debt, known as bank </w:t>
      </w:r>
      <w:r>
        <w:rPr>
          <w:rFonts w:asciiTheme="majorBidi" w:eastAsia="Times New Roman" w:hAnsiTheme="majorBidi" w:cstheme="majorBidi"/>
          <w:b/>
          <w:bCs/>
          <w:color w:val="212121"/>
          <w:sz w:val="26"/>
          <w:szCs w:val="26"/>
          <w:lang w:val="en-US"/>
        </w:rPr>
        <w:t>overdrafts</w:t>
      </w:r>
      <w:r>
        <w:rPr>
          <w:rFonts w:asciiTheme="majorBidi" w:eastAsia="Times New Roman" w:hAnsiTheme="majorBidi" w:cstheme="majorBidi"/>
          <w:color w:val="212121"/>
          <w:sz w:val="26"/>
          <w:szCs w:val="26"/>
          <w:lang w:val="en-US"/>
        </w:rPr>
        <w:t>. The company's operating activities must not be financed by bank loans.</w:t>
      </w:r>
    </w:p>
    <w:p w:rsidR="001C36F6" w:rsidRDefault="001C36F6" w:rsidP="001C36F6">
      <w:pPr>
        <w:spacing w:line="240" w:lineRule="auto"/>
        <w:ind w:firstLine="567"/>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 xml:space="preserve">The finance department is responsible for monitoring the execution of the budget on a monthly basis, updating the annual plan in line with actual performance so that it knows how the year will end. It must also identify any </w:t>
      </w:r>
      <w:r>
        <w:rPr>
          <w:rFonts w:asciiTheme="majorBidi" w:eastAsia="Times New Roman" w:hAnsiTheme="majorBidi" w:cstheme="majorBidi"/>
          <w:b/>
          <w:bCs/>
          <w:color w:val="212121"/>
          <w:sz w:val="26"/>
          <w:szCs w:val="26"/>
          <w:lang w:val="en-US"/>
        </w:rPr>
        <w:t>deviations</w:t>
      </w:r>
      <w:r>
        <w:rPr>
          <w:rFonts w:asciiTheme="majorBidi" w:eastAsia="Times New Roman" w:hAnsiTheme="majorBidi" w:cstheme="majorBidi"/>
          <w:color w:val="212121"/>
          <w:sz w:val="26"/>
          <w:szCs w:val="26"/>
          <w:lang w:val="en-US"/>
        </w:rPr>
        <w:t xml:space="preserve"> from </w:t>
      </w:r>
      <w:r>
        <w:rPr>
          <w:rFonts w:asciiTheme="majorBidi" w:eastAsia="Times New Roman" w:hAnsiTheme="majorBidi" w:cstheme="majorBidi"/>
          <w:b/>
          <w:bCs/>
          <w:color w:val="212121"/>
          <w:sz w:val="26"/>
          <w:szCs w:val="26"/>
          <w:lang w:val="en-US"/>
        </w:rPr>
        <w:t>forecasts</w:t>
      </w:r>
      <w:r>
        <w:rPr>
          <w:rFonts w:asciiTheme="majorBidi" w:eastAsia="Times New Roman" w:hAnsiTheme="majorBidi" w:cstheme="majorBidi"/>
          <w:color w:val="212121"/>
          <w:sz w:val="26"/>
          <w:szCs w:val="26"/>
          <w:lang w:val="en-US"/>
        </w:rPr>
        <w:t xml:space="preserve">, analyze them and explain where they come from.  </w:t>
      </w:r>
    </w:p>
    <w:p w:rsidR="001C36F6" w:rsidRDefault="001C36F6" w:rsidP="001C36F6">
      <w:pPr>
        <w:spacing w:line="240" w:lineRule="auto"/>
        <w:jc w:val="both"/>
        <w:rPr>
          <w:rFonts w:asciiTheme="majorBidi" w:eastAsia="Times New Roman" w:hAnsiTheme="majorBidi" w:cstheme="majorBidi"/>
          <w:b/>
          <w:bCs/>
          <w:color w:val="212121"/>
          <w:sz w:val="26"/>
          <w:szCs w:val="26"/>
          <w:u w:val="single"/>
          <w:lang w:val="en-US"/>
        </w:rPr>
      </w:pPr>
      <w:r>
        <w:rPr>
          <w:rFonts w:asciiTheme="majorBidi" w:eastAsia="Times New Roman" w:hAnsiTheme="majorBidi" w:cstheme="majorBidi"/>
          <w:b/>
          <w:bCs/>
          <w:color w:val="212121"/>
          <w:sz w:val="26"/>
          <w:szCs w:val="26"/>
          <w:u w:val="single"/>
          <w:lang w:val="en-US"/>
        </w:rPr>
        <w:t>Comprehension:</w:t>
      </w:r>
    </w:p>
    <w:p w:rsidR="001C36F6" w:rsidRDefault="001C36F6" w:rsidP="001C36F6">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What is the bank overdraft?</w:t>
      </w:r>
    </w:p>
    <w:p w:rsidR="001C36F6" w:rsidRDefault="001C36F6" w:rsidP="001C36F6">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When the company is overdrawn?</w:t>
      </w:r>
    </w:p>
    <w:p w:rsidR="001C36F6" w:rsidRDefault="001C36F6" w:rsidP="001C36F6">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What are the main missions of the finance department?</w:t>
      </w:r>
    </w:p>
    <w:p w:rsidR="001C36F6" w:rsidRDefault="001C36F6" w:rsidP="001C36F6">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How to make the most of positive cash balances?</w:t>
      </w:r>
    </w:p>
    <w:p w:rsidR="001C36F6" w:rsidRDefault="001C36F6" w:rsidP="001C36F6">
      <w:pPr>
        <w:spacing w:after="160"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b/>
          <w:bCs/>
          <w:color w:val="212121"/>
          <w:sz w:val="26"/>
          <w:szCs w:val="26"/>
          <w:u w:val="single"/>
          <w:lang w:val="en-US"/>
        </w:rPr>
        <w:t>Vocabulary:</w:t>
      </w:r>
      <w:r>
        <w:rPr>
          <w:rFonts w:asciiTheme="majorBidi" w:eastAsia="Times New Roman" w:hAnsiTheme="majorBidi" w:cstheme="majorBidi"/>
          <w:color w:val="212121"/>
          <w:sz w:val="26"/>
          <w:szCs w:val="26"/>
          <w:lang w:val="en-US"/>
        </w:rPr>
        <w:t xml:space="preserve"> </w:t>
      </w:r>
    </w:p>
    <w:p w:rsidR="001C36F6" w:rsidRDefault="001C36F6" w:rsidP="001C36F6">
      <w:pPr>
        <w:pStyle w:val="Paragraphedeliste"/>
        <w:numPr>
          <w:ilvl w:val="0"/>
          <w:numId w:val="2"/>
        </w:numPr>
        <w:spacing w:after="160" w:line="240" w:lineRule="auto"/>
        <w:jc w:val="both"/>
        <w:rPr>
          <w:rFonts w:asciiTheme="majorBidi" w:eastAsia="Times New Roman" w:hAnsiTheme="majorBidi" w:cstheme="majorBidi"/>
          <w:color w:val="212121"/>
          <w:sz w:val="26"/>
          <w:szCs w:val="26"/>
          <w:lang w:val="en-US"/>
        </w:rPr>
      </w:pPr>
      <w:r>
        <w:rPr>
          <w:rFonts w:asciiTheme="majorBidi" w:eastAsia="Times New Roman" w:hAnsiTheme="majorBidi" w:cstheme="majorBidi"/>
          <w:color w:val="212121"/>
          <w:sz w:val="26"/>
          <w:szCs w:val="26"/>
          <w:lang w:val="en-US"/>
        </w:rPr>
        <w:t>Find in the text synonyms of these words: supervising, principal, loan, expenses.</w:t>
      </w:r>
    </w:p>
    <w:p w:rsidR="001C36F6" w:rsidRDefault="001C36F6" w:rsidP="001C36F6">
      <w:pPr>
        <w:jc w:val="both"/>
        <w:rPr>
          <w:rFonts w:asciiTheme="majorBidi" w:hAnsiTheme="majorBidi" w:cstheme="majorBidi"/>
          <w:i/>
          <w:iCs/>
          <w:sz w:val="26"/>
          <w:szCs w:val="26"/>
          <w:highlight w:val="lightGray"/>
          <w:lang w:val="en-US"/>
        </w:rPr>
      </w:pPr>
      <w:r>
        <w:rPr>
          <w:rFonts w:asciiTheme="majorBidi" w:hAnsiTheme="majorBidi" w:cstheme="majorBidi"/>
          <w:b/>
          <w:bCs/>
          <w:sz w:val="26"/>
          <w:szCs w:val="26"/>
          <w:u w:val="single"/>
          <w:lang w:val="en-US"/>
        </w:rPr>
        <w:t>Grammar</w:t>
      </w:r>
      <w:r>
        <w:rPr>
          <w:rFonts w:asciiTheme="majorBidi" w:hAnsiTheme="majorBidi" w:cstheme="majorBidi"/>
          <w:b/>
          <w:bCs/>
          <w:sz w:val="26"/>
          <w:szCs w:val="26"/>
          <w:lang w:val="en-US"/>
        </w:rPr>
        <w:t xml:space="preserve">: </w:t>
      </w:r>
      <w:r>
        <w:rPr>
          <w:rFonts w:asciiTheme="majorBidi" w:hAnsiTheme="majorBidi" w:cstheme="majorBidi"/>
          <w:b/>
          <w:bCs/>
          <w:i/>
          <w:iCs/>
          <w:sz w:val="26"/>
          <w:szCs w:val="26"/>
          <w:highlight w:val="lightGray"/>
          <w:lang w:val="en-US"/>
        </w:rPr>
        <w:t>Determiners: definite and indefinite articles I</w:t>
      </w:r>
      <w:r>
        <w:rPr>
          <w:rFonts w:asciiTheme="majorBidi" w:hAnsiTheme="majorBidi" w:cstheme="majorBidi"/>
          <w:i/>
          <w:iCs/>
          <w:sz w:val="26"/>
          <w:szCs w:val="26"/>
          <w:highlight w:val="lightGray"/>
          <w:lang w:val="en-US"/>
        </w:rPr>
        <w:t xml:space="preserve"> </w:t>
      </w:r>
    </w:p>
    <w:p w:rsidR="001C36F6" w:rsidRDefault="001C36F6" w:rsidP="001C36F6">
      <w:pPr>
        <w:jc w:val="both"/>
        <w:rPr>
          <w:rFonts w:asciiTheme="majorBidi" w:hAnsiTheme="majorBidi" w:cstheme="majorBidi"/>
          <w:sz w:val="26"/>
          <w:szCs w:val="26"/>
          <w:lang w:val="en-US"/>
        </w:rPr>
      </w:pPr>
      <w:r>
        <w:rPr>
          <w:rFonts w:asciiTheme="majorBidi" w:hAnsiTheme="majorBidi" w:cstheme="majorBidi"/>
          <w:sz w:val="26"/>
          <w:szCs w:val="26"/>
          <w:lang w:val="en-US"/>
        </w:rPr>
        <w:t>Determiners are words placed in front of the noun to define it or to give information about. Here are all kinds of determiners:</w:t>
      </w:r>
    </w:p>
    <w:tbl>
      <w:tblPr>
        <w:tblStyle w:val="Grilledutableau"/>
        <w:tblW w:w="0" w:type="auto"/>
        <w:tblInd w:w="108" w:type="dxa"/>
        <w:tblLook w:val="04A0" w:firstRow="1" w:lastRow="0" w:firstColumn="1" w:lastColumn="0" w:noHBand="0" w:noVBand="1"/>
      </w:tblPr>
      <w:tblGrid>
        <w:gridCol w:w="3999"/>
        <w:gridCol w:w="5181"/>
      </w:tblGrid>
      <w:tr w:rsidR="001C36F6" w:rsidRPr="001C36F6" w:rsidTr="001C36F6">
        <w:tc>
          <w:tcPr>
            <w:tcW w:w="4555" w:type="dxa"/>
            <w:tcBorders>
              <w:top w:val="single" w:sz="4" w:space="0" w:color="auto"/>
              <w:left w:val="single" w:sz="4" w:space="0" w:color="auto"/>
              <w:bottom w:val="single" w:sz="4" w:space="0" w:color="auto"/>
              <w:right w:val="single" w:sz="4" w:space="0" w:color="auto"/>
            </w:tcBorders>
          </w:tcPr>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lastRenderedPageBreak/>
              <w:t>1. Definite and indefinite articles.</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2. Demonstrative.</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3. Possessive.</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4. Quantifiers.</w:t>
            </w:r>
          </w:p>
          <w:p w:rsidR="001C36F6" w:rsidRDefault="001C36F6">
            <w:pPr>
              <w:contextualSpacing/>
              <w:jc w:val="both"/>
              <w:rPr>
                <w:rFonts w:asciiTheme="majorBidi" w:hAnsiTheme="majorBidi" w:cstheme="majorBidi"/>
                <w:sz w:val="26"/>
                <w:szCs w:val="26"/>
                <w:lang w:val="en-US"/>
              </w:rPr>
            </w:pP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5. Numbers.</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6. Distributive.</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 xml:space="preserve">7. Determiners of difference. </w:t>
            </w:r>
          </w:p>
          <w:p w:rsidR="001C36F6" w:rsidRDefault="001C36F6">
            <w:pPr>
              <w:spacing w:after="200" w:line="276" w:lineRule="auto"/>
              <w:contextualSpacing/>
              <w:jc w:val="both"/>
              <w:rPr>
                <w:rFonts w:asciiTheme="majorBidi" w:hAnsiTheme="majorBidi" w:cstheme="majorBidi"/>
                <w:sz w:val="26"/>
                <w:szCs w:val="26"/>
                <w:lang w:val="en-US"/>
              </w:rPr>
            </w:pPr>
            <w:r>
              <w:rPr>
                <w:rFonts w:asciiTheme="majorBidi" w:hAnsiTheme="majorBidi" w:cstheme="majorBidi"/>
                <w:sz w:val="26"/>
                <w:szCs w:val="26"/>
                <w:lang w:val="en-US"/>
              </w:rPr>
              <w:t>8. Interrogative determiners.</w:t>
            </w:r>
          </w:p>
        </w:tc>
        <w:tc>
          <w:tcPr>
            <w:tcW w:w="6218" w:type="dxa"/>
            <w:tcBorders>
              <w:top w:val="single" w:sz="4" w:space="0" w:color="auto"/>
              <w:left w:val="single" w:sz="4" w:space="0" w:color="auto"/>
              <w:bottom w:val="single" w:sz="4" w:space="0" w:color="auto"/>
              <w:right w:val="single" w:sz="4" w:space="0" w:color="auto"/>
            </w:tcBorders>
            <w:hideMark/>
          </w:tcPr>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The, a, an.</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 xml:space="preserve">This, that, these, those. </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My, your, his, her, our, their, its.</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A few, a little, much, most, enough, many, a lot of, some, any…</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 xml:space="preserve">One, ten, thirty…. </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All, both, each, either, half, neither, every…</w:t>
            </w:r>
          </w:p>
          <w:p w:rsidR="001C36F6" w:rsidRDefault="001C36F6">
            <w:pPr>
              <w:contextualSpacing/>
              <w:jc w:val="both"/>
              <w:rPr>
                <w:rFonts w:asciiTheme="majorBidi" w:hAnsiTheme="majorBidi" w:cstheme="majorBidi"/>
                <w:sz w:val="26"/>
                <w:szCs w:val="26"/>
                <w:lang w:val="en-US"/>
              </w:rPr>
            </w:pPr>
            <w:r>
              <w:rPr>
                <w:rFonts w:asciiTheme="majorBidi" w:hAnsiTheme="majorBidi" w:cstheme="majorBidi"/>
                <w:sz w:val="26"/>
                <w:szCs w:val="26"/>
                <w:lang w:val="en-US"/>
              </w:rPr>
              <w:t>Other, another.</w:t>
            </w:r>
          </w:p>
          <w:p w:rsidR="001C36F6" w:rsidRDefault="001C36F6">
            <w:pPr>
              <w:spacing w:line="276" w:lineRule="auto"/>
              <w:contextualSpacing/>
              <w:jc w:val="both"/>
              <w:rPr>
                <w:rFonts w:asciiTheme="majorBidi" w:hAnsiTheme="majorBidi" w:cstheme="majorBidi"/>
                <w:sz w:val="26"/>
                <w:szCs w:val="26"/>
                <w:lang w:val="en-US"/>
              </w:rPr>
            </w:pPr>
            <w:r>
              <w:rPr>
                <w:rFonts w:asciiTheme="majorBidi" w:hAnsiTheme="majorBidi" w:cstheme="majorBidi"/>
                <w:sz w:val="26"/>
                <w:szCs w:val="26"/>
                <w:lang w:val="en-US"/>
              </w:rPr>
              <w:t>Which, what, whose.</w:t>
            </w:r>
          </w:p>
        </w:tc>
      </w:tr>
    </w:tbl>
    <w:p w:rsidR="001C36F6" w:rsidRDefault="001C36F6" w:rsidP="001C36F6">
      <w:pPr>
        <w:pStyle w:val="Paragraphedeliste"/>
        <w:numPr>
          <w:ilvl w:val="0"/>
          <w:numId w:val="2"/>
        </w:numPr>
        <w:jc w:val="both"/>
        <w:rPr>
          <w:rFonts w:asciiTheme="majorBidi" w:hAnsiTheme="majorBidi" w:cstheme="majorBidi"/>
          <w:sz w:val="26"/>
          <w:szCs w:val="26"/>
          <w:lang w:val="en-US"/>
        </w:rPr>
      </w:pPr>
      <w:r>
        <w:rPr>
          <w:rFonts w:asciiTheme="majorBidi" w:hAnsiTheme="majorBidi" w:cstheme="majorBidi"/>
          <w:i/>
          <w:iCs/>
          <w:sz w:val="26"/>
          <w:szCs w:val="26"/>
          <w:u w:val="single"/>
          <w:lang w:val="en-US"/>
        </w:rPr>
        <w:t xml:space="preserve">Definite article </w:t>
      </w:r>
      <w:r>
        <w:rPr>
          <w:rFonts w:asciiTheme="majorBidi" w:hAnsiTheme="majorBidi" w:cstheme="majorBidi"/>
          <w:b/>
          <w:bCs/>
          <w:i/>
          <w:iCs/>
          <w:sz w:val="26"/>
          <w:szCs w:val="26"/>
          <w:u w:val="single"/>
          <w:lang w:val="en-US"/>
        </w:rPr>
        <w:t>THE</w:t>
      </w:r>
      <w:r>
        <w:rPr>
          <w:rFonts w:asciiTheme="majorBidi" w:hAnsiTheme="majorBidi" w:cstheme="majorBidi"/>
          <w:sz w:val="26"/>
          <w:szCs w:val="26"/>
          <w:lang w:val="en-US"/>
        </w:rPr>
        <w:t xml:space="preserve"> articles in English are invariable. That is, they do not change according to the gender or number of the noun they refer to, e.g. the boy, the woman, and the children. Articles are necessarily used with all countable nouns. </w:t>
      </w:r>
    </w:p>
    <w:tbl>
      <w:tblPr>
        <w:tblStyle w:val="Grilledutableau"/>
        <w:tblW w:w="0" w:type="auto"/>
        <w:tblInd w:w="108" w:type="dxa"/>
        <w:tblLook w:val="04A0" w:firstRow="1" w:lastRow="0" w:firstColumn="1" w:lastColumn="0" w:noHBand="0" w:noVBand="1"/>
      </w:tblPr>
      <w:tblGrid>
        <w:gridCol w:w="4476"/>
        <w:gridCol w:w="4704"/>
      </w:tblGrid>
      <w:tr w:rsidR="001C36F6" w:rsidTr="001C36F6">
        <w:trPr>
          <w:trHeight w:val="354"/>
        </w:trPr>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center"/>
              <w:rPr>
                <w:rFonts w:asciiTheme="majorBidi" w:hAnsiTheme="majorBidi" w:cstheme="majorBidi"/>
                <w:b/>
                <w:bCs/>
                <w:sz w:val="26"/>
                <w:szCs w:val="26"/>
              </w:rPr>
            </w:pPr>
            <w:r>
              <w:rPr>
                <w:rFonts w:asciiTheme="majorBidi" w:hAnsiTheme="majorBidi" w:cstheme="majorBidi"/>
                <w:b/>
                <w:bCs/>
                <w:sz w:val="26"/>
                <w:szCs w:val="26"/>
              </w:rPr>
              <w:t xml:space="preserve">« The » is </w:t>
            </w:r>
            <w:proofErr w:type="spellStart"/>
            <w:r>
              <w:rPr>
                <w:rFonts w:asciiTheme="majorBidi" w:hAnsiTheme="majorBidi" w:cstheme="majorBidi"/>
                <w:b/>
                <w:bCs/>
                <w:sz w:val="26"/>
                <w:szCs w:val="26"/>
              </w:rPr>
              <w:t>used</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center"/>
              <w:rPr>
                <w:rFonts w:asciiTheme="majorBidi" w:hAnsiTheme="majorBidi" w:cstheme="majorBidi"/>
                <w:b/>
                <w:bCs/>
                <w:sz w:val="26"/>
                <w:szCs w:val="26"/>
              </w:rPr>
            </w:pPr>
            <w:proofErr w:type="spellStart"/>
            <w:r>
              <w:rPr>
                <w:rFonts w:asciiTheme="majorBidi" w:hAnsiTheme="majorBidi" w:cstheme="majorBidi"/>
                <w:b/>
                <w:bCs/>
                <w:sz w:val="26"/>
                <w:szCs w:val="26"/>
              </w:rPr>
              <w:t>Examples</w:t>
            </w:r>
            <w:proofErr w:type="spellEnd"/>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tcPr>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1</w:t>
            </w:r>
            <w:r>
              <w:rPr>
                <w:rFonts w:asciiTheme="majorBidi" w:hAnsiTheme="majorBidi" w:cstheme="majorBidi"/>
                <w:b/>
                <w:bCs/>
                <w:sz w:val="26"/>
                <w:szCs w:val="26"/>
                <w:lang w:val="en-US"/>
              </w:rPr>
              <w:t xml:space="preserve">. </w:t>
            </w:r>
            <w:r>
              <w:rPr>
                <w:rFonts w:asciiTheme="majorBidi" w:hAnsiTheme="majorBidi" w:cstheme="majorBidi"/>
                <w:sz w:val="26"/>
                <w:szCs w:val="26"/>
                <w:lang w:val="en-US"/>
              </w:rPr>
              <w:t>To refer to something that has already been mentioned.</w:t>
            </w:r>
          </w:p>
          <w:p w:rsidR="001C36F6" w:rsidRDefault="001C36F6">
            <w:pPr>
              <w:spacing w:after="200" w:line="276" w:lineRule="auto"/>
              <w:jc w:val="both"/>
              <w:rPr>
                <w:rFonts w:asciiTheme="majorBidi" w:hAnsiTheme="majorBidi" w:cstheme="majorBidi"/>
                <w:sz w:val="26"/>
                <w:szCs w:val="26"/>
                <w:lang w:val="en-US"/>
              </w:rPr>
            </w:pP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When we were in a vacation, we stayed at </w:t>
            </w:r>
            <w:r>
              <w:rPr>
                <w:rFonts w:asciiTheme="majorBidi" w:hAnsiTheme="majorBidi" w:cstheme="majorBidi"/>
                <w:b/>
                <w:bCs/>
                <w:sz w:val="26"/>
                <w:szCs w:val="26"/>
                <w:lang w:val="en-US"/>
              </w:rPr>
              <w:t>a</w:t>
            </w:r>
            <w:r>
              <w:rPr>
                <w:rFonts w:asciiTheme="majorBidi" w:hAnsiTheme="majorBidi" w:cstheme="majorBidi"/>
                <w:sz w:val="26"/>
                <w:szCs w:val="26"/>
                <w:lang w:val="en-US"/>
              </w:rPr>
              <w:t xml:space="preserve"> hotel. In the evenings, sometimes we had dinner at </w:t>
            </w:r>
            <w:r>
              <w:rPr>
                <w:rFonts w:asciiTheme="majorBidi" w:hAnsiTheme="majorBidi" w:cstheme="majorBidi"/>
                <w:b/>
                <w:bCs/>
                <w:sz w:val="26"/>
                <w:szCs w:val="26"/>
                <w:lang w:val="en-US"/>
              </w:rPr>
              <w:t>the</w:t>
            </w:r>
            <w:r>
              <w:rPr>
                <w:rFonts w:asciiTheme="majorBidi" w:hAnsiTheme="majorBidi" w:cstheme="majorBidi"/>
                <w:sz w:val="26"/>
                <w:szCs w:val="26"/>
                <w:lang w:val="en-US"/>
              </w:rPr>
              <w:t xml:space="preserve"> hotel and sometimes in </w:t>
            </w:r>
            <w:r>
              <w:rPr>
                <w:rFonts w:asciiTheme="majorBidi" w:hAnsiTheme="majorBidi" w:cstheme="majorBidi"/>
                <w:b/>
                <w:bCs/>
                <w:sz w:val="26"/>
                <w:szCs w:val="26"/>
                <w:lang w:val="en-US"/>
              </w:rPr>
              <w:t>a</w:t>
            </w:r>
            <w:r>
              <w:rPr>
                <w:rFonts w:asciiTheme="majorBidi" w:hAnsiTheme="majorBidi" w:cstheme="majorBidi"/>
                <w:sz w:val="26"/>
                <w:szCs w:val="26"/>
                <w:lang w:val="en-US"/>
              </w:rPr>
              <w:t xml:space="preserve"> restaurant. We found </w:t>
            </w:r>
            <w:r>
              <w:rPr>
                <w:rFonts w:asciiTheme="majorBidi" w:hAnsiTheme="majorBidi" w:cstheme="majorBidi"/>
                <w:b/>
                <w:bCs/>
                <w:sz w:val="26"/>
                <w:szCs w:val="26"/>
                <w:lang w:val="en-US"/>
              </w:rPr>
              <w:t>the</w:t>
            </w:r>
            <w:r>
              <w:rPr>
                <w:rFonts w:asciiTheme="majorBidi" w:hAnsiTheme="majorBidi" w:cstheme="majorBidi"/>
                <w:sz w:val="26"/>
                <w:szCs w:val="26"/>
                <w:lang w:val="en-US"/>
              </w:rPr>
              <w:t xml:space="preserve"> restaurant next to </w:t>
            </w:r>
            <w:r>
              <w:rPr>
                <w:rFonts w:asciiTheme="majorBidi" w:hAnsiTheme="majorBidi" w:cstheme="majorBidi"/>
                <w:b/>
                <w:bCs/>
                <w:sz w:val="26"/>
                <w:szCs w:val="26"/>
                <w:lang w:val="en-US"/>
              </w:rPr>
              <w:t>the</w:t>
            </w:r>
            <w:r>
              <w:rPr>
                <w:rFonts w:asciiTheme="majorBidi" w:hAnsiTheme="majorBidi" w:cstheme="majorBidi"/>
                <w:sz w:val="26"/>
                <w:szCs w:val="26"/>
                <w:lang w:val="en-US"/>
              </w:rPr>
              <w:t xml:space="preserve"> hotel very interesting. </w:t>
            </w:r>
          </w:p>
        </w:tc>
      </w:tr>
      <w:tr w:rsidR="001C36F6" w:rsidTr="001C36F6">
        <w:trPr>
          <w:trHeight w:val="1820"/>
        </w:trPr>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2. When both the speaker and listener know what is being talked about, even if it has not been mentioned before.</w:t>
            </w:r>
          </w:p>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3. In sentences or clauses where we define or identify a particular person or object</w:t>
            </w:r>
          </w:p>
        </w:tc>
        <w:tc>
          <w:tcPr>
            <w:tcW w:w="5528" w:type="dxa"/>
            <w:tcBorders>
              <w:top w:val="single" w:sz="4" w:space="0" w:color="auto"/>
              <w:left w:val="single" w:sz="4" w:space="0" w:color="auto"/>
              <w:bottom w:val="single" w:sz="4" w:space="0" w:color="auto"/>
              <w:right w:val="single" w:sz="4" w:space="0" w:color="auto"/>
            </w:tcBorders>
          </w:tcPr>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Where's the bathroom?</w:t>
            </w:r>
          </w:p>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 It's on the first floor.</w:t>
            </w:r>
          </w:p>
          <w:p w:rsidR="001C36F6" w:rsidRDefault="001C36F6">
            <w:pPr>
              <w:jc w:val="both"/>
              <w:rPr>
                <w:rFonts w:asciiTheme="majorBidi" w:hAnsiTheme="majorBidi" w:cstheme="majorBidi"/>
                <w:sz w:val="26"/>
                <w:szCs w:val="26"/>
                <w:lang w:val="en-US"/>
              </w:rPr>
            </w:pPr>
          </w:p>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Which book are you reading? The red one.</w:t>
            </w:r>
          </w:p>
          <w:p w:rsidR="001C36F6" w:rsidRDefault="001C36F6">
            <w:pPr>
              <w:spacing w:after="200" w:line="276" w:lineRule="auto"/>
              <w:jc w:val="both"/>
              <w:rPr>
                <w:rFonts w:asciiTheme="majorBidi" w:hAnsiTheme="majorBidi" w:cstheme="majorBidi"/>
                <w:sz w:val="26"/>
                <w:szCs w:val="26"/>
                <w:lang w:val="en-US"/>
              </w:rPr>
            </w:pPr>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4.  To refer to objects we regard as unique.</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 xml:space="preserve">The sun, the moon, the world… </w:t>
            </w:r>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5. Before superlatives and ordinal numbers.</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The highest building, the first page, the last chapter…</w:t>
            </w:r>
          </w:p>
        </w:tc>
      </w:tr>
      <w:tr w:rsid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6. With adjectives, to refer to a whole group of people or famous people.</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jc w:val="both"/>
              <w:rPr>
                <w:rFonts w:asciiTheme="majorBidi" w:hAnsiTheme="majorBidi" w:cstheme="majorBidi"/>
                <w:sz w:val="26"/>
                <w:szCs w:val="26"/>
                <w:lang w:val="en-US"/>
              </w:rPr>
            </w:pPr>
            <w:r>
              <w:rPr>
                <w:rFonts w:asciiTheme="majorBidi" w:hAnsiTheme="majorBidi" w:cstheme="majorBidi"/>
                <w:sz w:val="26"/>
                <w:szCs w:val="26"/>
                <w:lang w:val="en-US"/>
              </w:rPr>
              <w:t>The Japanese, the old, the young…</w:t>
            </w:r>
          </w:p>
          <w:p w:rsidR="001C36F6" w:rsidRDefault="001C36F6">
            <w:pPr>
              <w:spacing w:after="200" w:line="276" w:lineRule="auto"/>
              <w:jc w:val="both"/>
              <w:rPr>
                <w:rFonts w:asciiTheme="majorBidi" w:hAnsiTheme="majorBidi" w:cstheme="majorBidi"/>
                <w:sz w:val="26"/>
                <w:szCs w:val="26"/>
              </w:rPr>
            </w:pPr>
            <w:r>
              <w:rPr>
                <w:rFonts w:asciiTheme="majorBidi" w:hAnsiTheme="majorBidi" w:cstheme="majorBidi"/>
                <w:sz w:val="26"/>
                <w:szCs w:val="26"/>
              </w:rPr>
              <w:t xml:space="preserve">Shakespeare, the English </w:t>
            </w:r>
            <w:proofErr w:type="spellStart"/>
            <w:r>
              <w:rPr>
                <w:rFonts w:asciiTheme="majorBidi" w:hAnsiTheme="majorBidi" w:cstheme="majorBidi"/>
                <w:sz w:val="26"/>
                <w:szCs w:val="26"/>
              </w:rPr>
              <w:t>writer</w:t>
            </w:r>
            <w:proofErr w:type="spellEnd"/>
            <w:r>
              <w:rPr>
                <w:rFonts w:asciiTheme="majorBidi" w:hAnsiTheme="majorBidi" w:cstheme="majorBidi"/>
                <w:sz w:val="26"/>
                <w:szCs w:val="26"/>
              </w:rPr>
              <w:t>…</w:t>
            </w:r>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7. With names of geographical areas and oceans, rivers, mountains, desert.</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The Sahara, the Atlantic, the Mississippi River, the Black Sea…</w:t>
            </w:r>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8. With decades, or groups of years.</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She grew up in the seventies</w:t>
            </w:r>
          </w:p>
        </w:tc>
      </w:tr>
      <w:tr w:rsidR="001C36F6" w:rsidRPr="001C36F6" w:rsidTr="001C36F6">
        <w:tc>
          <w:tcPr>
            <w:tcW w:w="5245"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rPr>
            </w:pPr>
            <w:r>
              <w:rPr>
                <w:rFonts w:asciiTheme="majorBidi" w:hAnsiTheme="majorBidi" w:cstheme="majorBidi"/>
                <w:sz w:val="26"/>
                <w:szCs w:val="26"/>
              </w:rPr>
              <w:t>9. Directions</w:t>
            </w:r>
          </w:p>
        </w:tc>
        <w:tc>
          <w:tcPr>
            <w:tcW w:w="5528" w:type="dxa"/>
            <w:tcBorders>
              <w:top w:val="single" w:sz="4" w:space="0" w:color="auto"/>
              <w:left w:val="single" w:sz="4" w:space="0" w:color="auto"/>
              <w:bottom w:val="single" w:sz="4" w:space="0" w:color="auto"/>
              <w:right w:val="single" w:sz="4" w:space="0" w:color="auto"/>
            </w:tcBorders>
            <w:hideMark/>
          </w:tcPr>
          <w:p w:rsidR="001C36F6" w:rsidRDefault="001C36F6">
            <w:pPr>
              <w:spacing w:after="200" w:line="276" w:lineRule="auto"/>
              <w:jc w:val="both"/>
              <w:rPr>
                <w:rFonts w:asciiTheme="majorBidi" w:hAnsiTheme="majorBidi" w:cstheme="majorBidi"/>
                <w:sz w:val="26"/>
                <w:szCs w:val="26"/>
                <w:lang w:val="en-US"/>
              </w:rPr>
            </w:pPr>
            <w:r>
              <w:rPr>
                <w:rFonts w:asciiTheme="majorBidi" w:hAnsiTheme="majorBidi" w:cstheme="majorBidi"/>
                <w:sz w:val="26"/>
                <w:szCs w:val="26"/>
                <w:lang w:val="en-US"/>
              </w:rPr>
              <w:t>The west, the south-east…</w:t>
            </w:r>
          </w:p>
        </w:tc>
      </w:tr>
    </w:tbl>
    <w:p w:rsidR="007A2E44" w:rsidRPr="001C36F6" w:rsidRDefault="007A2E44">
      <w:pPr>
        <w:rPr>
          <w:lang w:val="en-US"/>
        </w:rPr>
      </w:pPr>
      <w:bookmarkStart w:id="0" w:name="_GoBack"/>
      <w:bookmarkEnd w:id="0"/>
    </w:p>
    <w:sectPr w:rsidR="007A2E44" w:rsidRPr="001C3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54FE6504"/>
    <w:multiLevelType w:val="hybridMultilevel"/>
    <w:tmpl w:val="9C7474D0"/>
    <w:lvl w:ilvl="0" w:tplc="D7961BE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63"/>
    <w:rsid w:val="001C36F6"/>
    <w:rsid w:val="002A5DF1"/>
    <w:rsid w:val="002F5432"/>
    <w:rsid w:val="007A2E44"/>
    <w:rsid w:val="00A520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6F6"/>
    <w:pPr>
      <w:ind w:left="720"/>
      <w:contextualSpacing/>
    </w:pPr>
  </w:style>
  <w:style w:type="table" w:styleId="Grilledutableau">
    <w:name w:val="Table Grid"/>
    <w:basedOn w:val="TableauNormal"/>
    <w:uiPriority w:val="39"/>
    <w:rsid w:val="001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36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6F6"/>
    <w:pPr>
      <w:ind w:left="720"/>
      <w:contextualSpacing/>
    </w:pPr>
  </w:style>
  <w:style w:type="table" w:styleId="Grilledutableau">
    <w:name w:val="Table Grid"/>
    <w:basedOn w:val="TableauNormal"/>
    <w:uiPriority w:val="39"/>
    <w:rsid w:val="001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36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2024-04-24T17:29:00Z</dcterms:created>
  <dcterms:modified xsi:type="dcterms:W3CDTF">2024-04-24T17:30:00Z</dcterms:modified>
</cp:coreProperties>
</file>