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58" w:rsidRPr="00481128" w:rsidRDefault="00213C40" w:rsidP="004124AB">
      <w:pPr>
        <w:pStyle w:val="anormal"/>
        <w:jc w:val="center"/>
        <w:rPr>
          <w:sz w:val="44"/>
          <w:szCs w:val="44"/>
        </w:rPr>
      </w:pPr>
      <w:r w:rsidRPr="00481128">
        <w:rPr>
          <w:sz w:val="44"/>
          <w:szCs w:val="44"/>
        </w:rPr>
        <w:t>TP</w:t>
      </w:r>
      <w:r w:rsidR="004124AB">
        <w:rPr>
          <w:sz w:val="44"/>
          <w:szCs w:val="44"/>
        </w:rPr>
        <w:t>4</w:t>
      </w:r>
      <w:r w:rsidR="00207D5F" w:rsidRPr="00481128">
        <w:rPr>
          <w:sz w:val="44"/>
          <w:szCs w:val="44"/>
        </w:rPr>
        <w:t> </w:t>
      </w:r>
    </w:p>
    <w:p w:rsidR="00207D5F" w:rsidRPr="00481128" w:rsidRDefault="00207D5F" w:rsidP="00207D5F">
      <w:pPr>
        <w:spacing w:after="0" w:line="360" w:lineRule="auto"/>
        <w:rPr>
          <w:rFonts w:asciiTheme="majorHAnsi" w:hAnsiTheme="majorHAnsi" w:cstheme="majorBidi"/>
          <w:sz w:val="28"/>
          <w:szCs w:val="28"/>
        </w:rPr>
      </w:pPr>
      <w:r w:rsidRPr="00481128">
        <w:rPr>
          <w:rFonts w:asciiTheme="majorHAnsi" w:hAnsiTheme="majorHAnsi" w:cstheme="majorBidi"/>
          <w:sz w:val="28"/>
          <w:szCs w:val="28"/>
          <w:highlight w:val="yellow"/>
        </w:rPr>
        <w:t>Objectifs</w:t>
      </w:r>
    </w:p>
    <w:p w:rsidR="004124AB" w:rsidRDefault="004124AB" w:rsidP="0079076B">
      <w:pPr>
        <w:pStyle w:val="anormal"/>
        <w:spacing w:after="0"/>
      </w:pPr>
      <w:r w:rsidRPr="00B737DE">
        <w:t xml:space="preserve">L’objectif de ce TP </w:t>
      </w:r>
      <w:r>
        <w:t xml:space="preserve">est de générer des </w:t>
      </w:r>
      <w:r w:rsidR="0079076B">
        <w:t xml:space="preserve">variables aléatoires et des signaux aléatoires </w:t>
      </w:r>
      <w:r>
        <w:t>qui suivent une loi de probabilité (loi normale ou la loi uniforme)</w:t>
      </w:r>
      <w:r w:rsidR="0079076B">
        <w:t xml:space="preserve">, </w:t>
      </w:r>
      <w:r w:rsidR="00EB5610">
        <w:t>et</w:t>
      </w:r>
      <w:r>
        <w:t xml:space="preserve"> de faire plusieurs réalisations.</w:t>
      </w:r>
      <w:r w:rsidR="0079076B">
        <w:t xml:space="preserve"> Les caractéristiques d’un signal aléatoire sont </w:t>
      </w:r>
      <w:r w:rsidR="00EB5610">
        <w:t>calculées</w:t>
      </w:r>
      <w:r w:rsidR="0079076B">
        <w:t xml:space="preserve"> aussi.</w:t>
      </w:r>
    </w:p>
    <w:p w:rsidR="004124AB" w:rsidRPr="004124AB" w:rsidRDefault="004124AB" w:rsidP="004124AB">
      <w:pPr>
        <w:pStyle w:val="anormal"/>
        <w:spacing w:after="0"/>
        <w:rPr>
          <w:sz w:val="28"/>
          <w:szCs w:val="28"/>
        </w:rPr>
      </w:pPr>
      <w:r w:rsidRPr="004124AB">
        <w:rPr>
          <w:sz w:val="28"/>
          <w:szCs w:val="28"/>
          <w:highlight w:val="yellow"/>
        </w:rPr>
        <w:t>Activité 1</w:t>
      </w:r>
    </w:p>
    <w:p w:rsidR="004124AB" w:rsidRDefault="004124AB" w:rsidP="004124AB">
      <w:pPr>
        <w:spacing w:after="0"/>
        <w:rPr>
          <w:rFonts w:asciiTheme="majorHAnsi" w:hAnsiTheme="majorHAnsi"/>
          <w:sz w:val="24"/>
          <w:szCs w:val="24"/>
        </w:rPr>
      </w:pPr>
      <w:r w:rsidRPr="00A443C7">
        <w:rPr>
          <w:rFonts w:asciiTheme="majorHAnsi" w:hAnsiTheme="majorHAnsi"/>
          <w:sz w:val="24"/>
          <w:szCs w:val="24"/>
        </w:rPr>
        <w:t>Soit</w:t>
      </w:r>
      <w:r>
        <w:rPr>
          <w:rFonts w:asciiTheme="majorHAnsi" w:hAnsiTheme="majorHAnsi"/>
          <w:sz w:val="24"/>
          <w:szCs w:val="24"/>
        </w:rPr>
        <w:t xml:space="preserve"> le processus aléatoire </w:t>
      </w: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cos⁡</m:t>
        </m:r>
        <m:r>
          <w:rPr>
            <w:rFonts w:ascii="Cambria Math" w:hAnsi="Cambria Math"/>
            <w:sz w:val="24"/>
            <w:szCs w:val="24"/>
          </w:rPr>
          <m:t>(2π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t+θ)</m:t>
        </m:r>
      </m:oMath>
      <w:r>
        <w:rPr>
          <w:rFonts w:asciiTheme="majorHAnsi" w:hAnsiTheme="majorHAnsi"/>
          <w:sz w:val="24"/>
          <w:szCs w:val="24"/>
        </w:rPr>
        <w:t xml:space="preserve"> où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Theme="majorHAnsi" w:hAnsiTheme="majorHAnsi"/>
          <w:sz w:val="24"/>
          <w:szCs w:val="24"/>
        </w:rPr>
        <w:t xml:space="preserve"> est une variabl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e aléatoire ayant la densité de probabilité suivante :</w:t>
      </w:r>
    </w:p>
    <w:p w:rsidR="004124AB" w:rsidRDefault="00222210" w:rsidP="004124AB">
      <w:pPr>
        <w:spacing w:after="0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θ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2π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&lt;π        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0 ailleurs </m:t>
                  </m:r>
                </m:e>
              </m:eqArr>
            </m:e>
          </m:d>
        </m:oMath>
      </m:oMathPara>
    </w:p>
    <w:p w:rsidR="004124AB" w:rsidRPr="0079076B" w:rsidRDefault="004124AB" w:rsidP="0079076B">
      <w:pPr>
        <w:pStyle w:val="Paragraphedeliste"/>
        <w:numPr>
          <w:ilvl w:val="0"/>
          <w:numId w:val="8"/>
        </w:numPr>
        <w:spacing w:after="0"/>
        <w:rPr>
          <w:rFonts w:asciiTheme="majorHAnsi" w:hAnsiTheme="majorHAnsi"/>
          <w:sz w:val="24"/>
          <w:szCs w:val="24"/>
        </w:rPr>
      </w:pPr>
      <w:r w:rsidRPr="0079076B">
        <w:rPr>
          <w:rFonts w:asciiTheme="majorHAnsi" w:hAnsiTheme="majorHAnsi"/>
          <w:sz w:val="24"/>
          <w:szCs w:val="24"/>
        </w:rPr>
        <w:t>Calculez théoriquement, la moyenne statistique, la variance et la fonction d’autocorrélation.</w:t>
      </w:r>
    </w:p>
    <w:p w:rsidR="004124AB" w:rsidRDefault="004124AB" w:rsidP="004124AB">
      <w:pPr>
        <w:pStyle w:val="Paragraphedeliste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 Matlab, calculer,  la moyenne statistique, la variance et la fonction d’autocorrélation.</w:t>
      </w:r>
    </w:p>
    <w:p w:rsidR="004124AB" w:rsidRPr="00250C8C" w:rsidRDefault="004124AB" w:rsidP="004124AB">
      <w:pPr>
        <w:pStyle w:val="Paragraphedeliste"/>
        <w:numPr>
          <w:ilvl w:val="0"/>
          <w:numId w:val="8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Comparer les résultats obtenus, puis conclure.</w:t>
      </w:r>
    </w:p>
    <w:p w:rsidR="004124AB" w:rsidRPr="004124AB" w:rsidRDefault="004124AB" w:rsidP="004124AB">
      <w:pPr>
        <w:pStyle w:val="anormal"/>
        <w:spacing w:after="0"/>
        <w:rPr>
          <w:sz w:val="28"/>
          <w:szCs w:val="28"/>
          <w:highlight w:val="yellow"/>
        </w:rPr>
      </w:pPr>
      <w:r w:rsidRPr="004124AB">
        <w:rPr>
          <w:sz w:val="28"/>
          <w:szCs w:val="28"/>
          <w:highlight w:val="yellow"/>
        </w:rPr>
        <w:t>Activité 2</w:t>
      </w:r>
    </w:p>
    <w:p w:rsidR="004124AB" w:rsidRDefault="004124AB" w:rsidP="0079076B">
      <w:pPr>
        <w:pStyle w:val="anormal"/>
        <w:numPr>
          <w:ilvl w:val="0"/>
          <w:numId w:val="10"/>
        </w:numPr>
        <w:spacing w:after="0"/>
      </w:pPr>
      <w:r>
        <w:t xml:space="preserve">Générer </w:t>
      </w:r>
      <w:r w:rsidR="0079076B">
        <w:t>1</w:t>
      </w:r>
      <w:r>
        <w:t xml:space="preserve">00 échantillons d’une variable aléatoire </w:t>
      </w:r>
      <m:oMath>
        <m:r>
          <w:rPr>
            <w:rFonts w:ascii="Cambria Math" w:hAnsi="Cambria Math"/>
          </w:rPr>
          <m:t>θ</m:t>
        </m:r>
      </m:oMath>
      <w:r w:rsidR="00EB5610">
        <w:t xml:space="preserve"> </w:t>
      </w:r>
      <w:r>
        <w:t xml:space="preserve">qui suit la </w:t>
      </w:r>
      <w:r w:rsidRPr="008914A8">
        <w:rPr>
          <w:u w:val="single"/>
        </w:rPr>
        <w:t>loi uniforme</w:t>
      </w:r>
      <w:r>
        <w:t xml:space="preserve"> </w:t>
      </w:r>
      <w:r w:rsidRPr="00571B65">
        <w:t xml:space="preserve">sur </w:t>
      </w:r>
      <m:oMath>
        <m:r>
          <w:rPr>
            <w:rFonts w:ascii="Cambria Math" w:hAnsi="Cambria Math"/>
          </w:rPr>
          <m:t>[0, 2</m:t>
        </m:r>
        <m:r>
          <w:rPr>
            <w:rFonts w:ascii="Cambria Math" w:hAnsi="Cambria Math"/>
            <w:i/>
          </w:rPr>
          <w:sym w:font="Symbol" w:char="F070"/>
        </m:r>
        <m:r>
          <w:rPr>
            <w:rFonts w:ascii="Cambria Math" w:hAnsi="Cambria Math"/>
          </w:rPr>
          <m:t>]</m:t>
        </m:r>
      </m:oMath>
      <w:r>
        <w:rPr>
          <w:rFonts w:eastAsiaTheme="minorEastAsia"/>
        </w:rPr>
        <w:t>.</w:t>
      </w:r>
      <w:r w:rsidR="0079076B">
        <w:rPr>
          <w:rFonts w:eastAsiaTheme="minorEastAsia"/>
        </w:rPr>
        <w:t xml:space="preserve"> </w:t>
      </w:r>
      <w:r w:rsidR="00EB5610">
        <w:rPr>
          <w:rFonts w:eastAsiaTheme="minorEastAsia"/>
        </w:rPr>
        <w:t>Afficher le signal.</w:t>
      </w:r>
    </w:p>
    <w:p w:rsidR="004124AB" w:rsidRDefault="004124AB" w:rsidP="0079076B">
      <w:pPr>
        <w:pStyle w:val="anormal"/>
        <w:numPr>
          <w:ilvl w:val="0"/>
          <w:numId w:val="10"/>
        </w:numPr>
        <w:spacing w:after="0"/>
      </w:pPr>
      <w:r w:rsidRPr="00571B65">
        <w:t xml:space="preserve">Générer </w:t>
      </w:r>
      <w:r w:rsidR="0079076B">
        <w:t>1</w:t>
      </w:r>
      <w:r>
        <w:t>00</w:t>
      </w:r>
      <w:r w:rsidRPr="00571B65">
        <w:t xml:space="preserve"> points du signal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szCs w:val="16"/>
          </w:rPr>
          <m:t xml:space="preserve">n </m:t>
        </m:r>
        <m:r>
          <w:rPr>
            <w:rFonts w:ascii="Cambria Math" w:hAnsi="Cambria Math"/>
          </w:rPr>
          <m:t>= Acos(2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n+θ)</m:t>
        </m:r>
      </m:oMath>
      <w:r w:rsidRPr="00571B65">
        <w:t xml:space="preserve"> où </w:t>
      </w:r>
      <m:oMath>
        <m:r>
          <w:rPr>
            <w:rFonts w:ascii="Cambria Math" w:hAnsi="Cambria Math"/>
          </w:rPr>
          <m:t>θ</m:t>
        </m:r>
      </m:oMath>
      <w:r w:rsidRPr="00571B65">
        <w:t xml:space="preserve"> est une variable aléatoire uniformément</w:t>
      </w:r>
      <w:r>
        <w:t xml:space="preserve"> </w:t>
      </w:r>
      <w:r w:rsidRPr="00571B65">
        <w:t xml:space="preserve">distribuée sur </w:t>
      </w:r>
      <m:oMath>
        <m:r>
          <w:rPr>
            <w:rFonts w:ascii="Cambria Math" w:hAnsi="Cambria Math"/>
          </w:rPr>
          <m:t>[0, 2</m:t>
        </m:r>
        <m:r>
          <w:rPr>
            <w:rFonts w:ascii="Cambria Math" w:hAnsi="Cambria Math"/>
            <w:i/>
          </w:rPr>
          <w:sym w:font="Symbol" w:char="F070"/>
        </m:r>
        <m:r>
          <w:rPr>
            <w:rFonts w:ascii="Cambria Math" w:hAnsi="Cambria Math"/>
          </w:rPr>
          <m:t>],</m:t>
        </m:r>
      </m:oMath>
      <w:r>
        <w:t xml:space="preserve"> </w:t>
      </w:r>
      <m:oMath>
        <m:r>
          <w:rPr>
            <w:rFonts w:ascii="Cambria Math" w:hAnsi="Cambria Math"/>
          </w:rPr>
          <m:t>A=1.2</m:t>
        </m:r>
      </m:oMath>
      <w:r w:rsidRPr="00571B65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 0.037</m:t>
        </m:r>
      </m:oMath>
      <w:r w:rsidRPr="00571B65">
        <w:t xml:space="preserve">. </w:t>
      </w:r>
    </w:p>
    <w:p w:rsidR="004124AB" w:rsidRDefault="004124AB" w:rsidP="0079076B">
      <w:pPr>
        <w:pStyle w:val="anormal"/>
        <w:numPr>
          <w:ilvl w:val="0"/>
          <w:numId w:val="10"/>
        </w:numPr>
        <w:spacing w:after="0"/>
      </w:pPr>
      <w:r w:rsidRPr="00571B65">
        <w:t>Superposer sur la même figure les 100 points de</w:t>
      </w:r>
      <w:r>
        <w:t xml:space="preserve"> 3</w:t>
      </w:r>
      <w:r w:rsidRPr="00571B65">
        <w:t xml:space="preserve"> réalisations du signal</w:t>
      </w:r>
      <w:r>
        <w:t xml:space="preserve"> aléatoire </w:t>
      </w:r>
      <m:oMath>
        <m:r>
          <w:rPr>
            <w:rFonts w:ascii="Cambria Math" w:hAnsi="Cambria Math"/>
          </w:rPr>
          <m:t>xn</m:t>
        </m:r>
      </m:oMath>
      <w:r w:rsidRPr="00571B65">
        <w:t>.</w:t>
      </w:r>
    </w:p>
    <w:p w:rsidR="004124AB" w:rsidRDefault="004124AB" w:rsidP="004124AB">
      <w:pPr>
        <w:pStyle w:val="anormal"/>
        <w:numPr>
          <w:ilvl w:val="0"/>
          <w:numId w:val="10"/>
        </w:numPr>
        <w:spacing w:after="0"/>
      </w:pPr>
      <w:r>
        <w:t>Conclure.</w:t>
      </w:r>
    </w:p>
    <w:p w:rsidR="004124AB" w:rsidRPr="004124AB" w:rsidRDefault="004124AB" w:rsidP="004124AB">
      <w:pPr>
        <w:pStyle w:val="anormal"/>
        <w:spacing w:after="0"/>
        <w:rPr>
          <w:sz w:val="28"/>
          <w:szCs w:val="28"/>
          <w:highlight w:val="yellow"/>
        </w:rPr>
      </w:pPr>
      <w:r w:rsidRPr="004124AB">
        <w:rPr>
          <w:sz w:val="28"/>
          <w:szCs w:val="28"/>
          <w:highlight w:val="yellow"/>
        </w:rPr>
        <w:t>Activité 3</w:t>
      </w:r>
    </w:p>
    <w:p w:rsidR="004124AB" w:rsidRDefault="004124AB" w:rsidP="0079076B">
      <w:pPr>
        <w:pStyle w:val="anormal"/>
        <w:numPr>
          <w:ilvl w:val="0"/>
          <w:numId w:val="9"/>
        </w:numPr>
        <w:spacing w:after="0"/>
      </w:pPr>
      <w:r>
        <w:t xml:space="preserve">Générer </w:t>
      </w:r>
      <w:r w:rsidR="0079076B">
        <w:t>100</w:t>
      </w:r>
      <w:r>
        <w:t xml:space="preserve"> échantillons d’une variable aléatoire qui suit la </w:t>
      </w:r>
      <w:r w:rsidRPr="008914A8">
        <w:rPr>
          <w:u w:val="single"/>
        </w:rPr>
        <w:t>loi de Gauss</w:t>
      </w:r>
      <w:r>
        <w:t xml:space="preserve"> ayant une moyenne de zéro et une variance de 1. </w:t>
      </w:r>
      <w:r w:rsidRPr="0004241A">
        <w:t>Afficher le signal</w:t>
      </w:r>
      <w:r>
        <w:t>.</w:t>
      </w:r>
    </w:p>
    <w:p w:rsidR="004124AB" w:rsidRDefault="004124AB" w:rsidP="0079076B">
      <w:pPr>
        <w:pStyle w:val="anormal"/>
        <w:numPr>
          <w:ilvl w:val="0"/>
          <w:numId w:val="9"/>
        </w:numPr>
        <w:spacing w:after="0"/>
      </w:pPr>
      <w:r w:rsidRPr="00571B65">
        <w:t xml:space="preserve">Générer </w:t>
      </w:r>
      <w:r w:rsidR="0079076B">
        <w:t>1</w:t>
      </w:r>
      <w:r>
        <w:t>00</w:t>
      </w:r>
      <w:r w:rsidRPr="00571B65">
        <w:t xml:space="preserve"> points du signal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szCs w:val="16"/>
          </w:rPr>
          <m:t xml:space="preserve">n </m:t>
        </m:r>
        <m:r>
          <w:rPr>
            <w:rFonts w:ascii="Cambria Math" w:hAnsi="Cambria Math"/>
          </w:rPr>
          <m:t>= Acos(2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n+θ)</m:t>
        </m:r>
      </m:oMath>
      <w:r w:rsidRPr="00571B65">
        <w:t xml:space="preserve"> où </w:t>
      </w:r>
      <m:oMath>
        <m:r>
          <w:rPr>
            <w:rFonts w:ascii="Cambria Math" w:hAnsi="Cambria Math"/>
          </w:rPr>
          <m:t>θ</m:t>
        </m:r>
      </m:oMath>
      <w:r w:rsidRPr="00571B65">
        <w:t xml:space="preserve"> est une variable aléatoire </w:t>
      </w:r>
      <w:r>
        <w:t xml:space="preserve">qui suit la loi de Gauss ayant une moyenne de zéro et une variance de 1, </w:t>
      </w:r>
      <m:oMath>
        <m:r>
          <w:rPr>
            <w:rFonts w:ascii="Cambria Math" w:hAnsi="Cambria Math"/>
          </w:rPr>
          <m:t>A=1.2</m:t>
        </m:r>
      </m:oMath>
      <w:r w:rsidRPr="00571B65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 0.037</m:t>
        </m:r>
      </m:oMath>
      <w:r w:rsidRPr="00571B65">
        <w:t xml:space="preserve">. </w:t>
      </w:r>
    </w:p>
    <w:p w:rsidR="004124AB" w:rsidRDefault="004124AB" w:rsidP="0079076B">
      <w:pPr>
        <w:pStyle w:val="anormal"/>
        <w:numPr>
          <w:ilvl w:val="0"/>
          <w:numId w:val="9"/>
        </w:numPr>
        <w:spacing w:after="0"/>
      </w:pPr>
      <w:r w:rsidRPr="00571B65">
        <w:t>Superposer sur la même figure les 100 points de</w:t>
      </w:r>
      <w:r>
        <w:t xml:space="preserve"> 3</w:t>
      </w:r>
      <w:r w:rsidRPr="00571B65">
        <w:t xml:space="preserve"> réalisations du signal</w:t>
      </w:r>
      <w:r>
        <w:t xml:space="preserve"> aléatoire </w:t>
      </w:r>
      <m:oMath>
        <m:r>
          <w:rPr>
            <w:rFonts w:ascii="Cambria Math" w:hAnsi="Cambria Math"/>
          </w:rPr>
          <m:t>xn</m:t>
        </m:r>
      </m:oMath>
      <w:r w:rsidRPr="00571B65">
        <w:t>.</w:t>
      </w:r>
    </w:p>
    <w:p w:rsidR="00BA04B8" w:rsidRPr="004124AB" w:rsidRDefault="004124AB" w:rsidP="004124AB">
      <w:pPr>
        <w:pStyle w:val="anormal"/>
        <w:numPr>
          <w:ilvl w:val="0"/>
          <w:numId w:val="9"/>
        </w:numPr>
        <w:tabs>
          <w:tab w:val="left" w:pos="1265"/>
        </w:tabs>
        <w:spacing w:after="0"/>
        <w:jc w:val="left"/>
      </w:pPr>
      <w:r>
        <w:t>Conclure.</w:t>
      </w:r>
    </w:p>
    <w:sectPr w:rsidR="00BA04B8" w:rsidRPr="004124AB" w:rsidSect="00426E8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10" w:rsidRDefault="00222210" w:rsidP="0059796F">
      <w:pPr>
        <w:spacing w:after="0" w:line="240" w:lineRule="auto"/>
      </w:pPr>
      <w:r>
        <w:separator/>
      </w:r>
    </w:p>
  </w:endnote>
  <w:endnote w:type="continuationSeparator" w:id="0">
    <w:p w:rsidR="00222210" w:rsidRDefault="00222210" w:rsidP="0059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426E81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26E81" w:rsidRDefault="00426E81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26E81" w:rsidRDefault="00426E81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864345">
            <w:fldChar w:fldCharType="begin"/>
          </w:r>
          <w:r w:rsidR="00864345">
            <w:instrText xml:space="preserve"> PAGE  \* MERGEFORMAT </w:instrText>
          </w:r>
          <w:r w:rsidR="00864345">
            <w:fldChar w:fldCharType="separate"/>
          </w:r>
          <w:r w:rsidR="004124AB" w:rsidRPr="004124AB">
            <w:rPr>
              <w:rFonts w:asciiTheme="majorHAnsi" w:hAnsiTheme="majorHAnsi"/>
              <w:b/>
              <w:noProof/>
            </w:rPr>
            <w:t>3</w:t>
          </w:r>
          <w:r w:rsidR="00864345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26E81" w:rsidRDefault="00426E81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26E81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26E81" w:rsidRDefault="00426E81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26E81" w:rsidRDefault="00426E81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26E81" w:rsidRDefault="00426E81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26E81" w:rsidRDefault="00426E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235" w:type="pct"/>
      <w:tblLook w:val="04A0" w:firstRow="1" w:lastRow="0" w:firstColumn="1" w:lastColumn="0" w:noHBand="0" w:noVBand="1"/>
    </w:tblPr>
    <w:tblGrid>
      <w:gridCol w:w="4083"/>
      <w:gridCol w:w="907"/>
      <w:gridCol w:w="4508"/>
    </w:tblGrid>
    <w:tr w:rsidR="00426E81" w:rsidTr="00C93647">
      <w:trPr>
        <w:trHeight w:val="151"/>
      </w:trPr>
      <w:tc>
        <w:tcPr>
          <w:tcW w:w="2149" w:type="pct"/>
          <w:tcBorders>
            <w:bottom w:val="single" w:sz="4" w:space="0" w:color="4F81BD" w:themeColor="accent1"/>
          </w:tcBorders>
        </w:tcPr>
        <w:p w:rsidR="00426E81" w:rsidRDefault="00426E81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7" w:type="pct"/>
          <w:vMerge w:val="restart"/>
          <w:noWrap/>
          <w:vAlign w:val="center"/>
        </w:tcPr>
        <w:p w:rsidR="00426E81" w:rsidRDefault="00426E81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864345">
            <w:fldChar w:fldCharType="begin"/>
          </w:r>
          <w:r w:rsidR="00864345">
            <w:instrText xml:space="preserve"> PAGE  \* MERGEFORMAT </w:instrText>
          </w:r>
          <w:r w:rsidR="00864345">
            <w:fldChar w:fldCharType="separate"/>
          </w:r>
          <w:r w:rsidR="00222210" w:rsidRPr="00222210">
            <w:rPr>
              <w:rFonts w:asciiTheme="majorHAnsi" w:hAnsiTheme="majorHAnsi"/>
              <w:b/>
              <w:noProof/>
            </w:rPr>
            <w:t>1</w:t>
          </w:r>
          <w:r w:rsidR="00864345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373" w:type="pct"/>
          <w:tcBorders>
            <w:bottom w:val="single" w:sz="4" w:space="0" w:color="4F81BD" w:themeColor="accent1"/>
          </w:tcBorders>
        </w:tcPr>
        <w:p w:rsidR="00426E81" w:rsidRDefault="00426E81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26E81" w:rsidTr="00C93647">
      <w:trPr>
        <w:trHeight w:val="150"/>
      </w:trPr>
      <w:tc>
        <w:tcPr>
          <w:tcW w:w="2149" w:type="pct"/>
          <w:tcBorders>
            <w:top w:val="single" w:sz="4" w:space="0" w:color="4F81BD" w:themeColor="accent1"/>
          </w:tcBorders>
        </w:tcPr>
        <w:p w:rsidR="00426E81" w:rsidRDefault="00EB561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S. BELKACEM</w:t>
          </w:r>
        </w:p>
      </w:tc>
      <w:tc>
        <w:tcPr>
          <w:tcW w:w="477" w:type="pct"/>
          <w:vMerge/>
        </w:tcPr>
        <w:p w:rsidR="00426E81" w:rsidRDefault="00426E81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373" w:type="pct"/>
          <w:tcBorders>
            <w:top w:val="single" w:sz="4" w:space="0" w:color="4F81BD" w:themeColor="accent1"/>
          </w:tcBorders>
        </w:tcPr>
        <w:p w:rsidR="00426E81" w:rsidRDefault="00481128" w:rsidP="000C7BC7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                                                       20</w:t>
          </w:r>
          <w:r w:rsidR="0035499A">
            <w:rPr>
              <w:rFonts w:asciiTheme="majorHAnsi" w:eastAsiaTheme="majorEastAsia" w:hAnsiTheme="majorHAnsi" w:cstheme="majorBidi"/>
              <w:b/>
              <w:bCs/>
            </w:rPr>
            <w:t>2</w:t>
          </w:r>
          <w:r w:rsidR="000C7BC7">
            <w:rPr>
              <w:rFonts w:asciiTheme="majorHAnsi" w:eastAsiaTheme="majorEastAsia" w:hAnsiTheme="majorHAnsi" w:cstheme="majorBidi"/>
              <w:b/>
              <w:bCs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t>/20</w:t>
          </w:r>
          <w:r w:rsidR="0035499A">
            <w:rPr>
              <w:rFonts w:asciiTheme="majorHAnsi" w:eastAsiaTheme="majorEastAsia" w:hAnsiTheme="majorHAnsi" w:cstheme="majorBidi"/>
              <w:b/>
              <w:bCs/>
            </w:rPr>
            <w:t>2</w:t>
          </w:r>
          <w:r w:rsidR="000C7BC7">
            <w:rPr>
              <w:rFonts w:asciiTheme="majorHAnsi" w:eastAsiaTheme="majorEastAsia" w:hAnsiTheme="majorHAnsi" w:cstheme="majorBidi"/>
              <w:b/>
              <w:bCs/>
            </w:rPr>
            <w:t>3</w:t>
          </w:r>
        </w:p>
      </w:tc>
    </w:tr>
  </w:tbl>
  <w:p w:rsidR="00426E81" w:rsidRDefault="00426E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10" w:rsidRDefault="00222210" w:rsidP="0059796F">
      <w:pPr>
        <w:spacing w:after="0" w:line="240" w:lineRule="auto"/>
      </w:pPr>
      <w:r>
        <w:separator/>
      </w:r>
    </w:p>
  </w:footnote>
  <w:footnote w:type="continuationSeparator" w:id="0">
    <w:p w:rsidR="00222210" w:rsidRDefault="00222210" w:rsidP="0059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0"/>
      <w:gridCol w:w="6181"/>
      <w:gridCol w:w="1271"/>
    </w:tblGrid>
    <w:tr w:rsidR="00EB5610" w:rsidTr="008302C7">
      <w:trPr>
        <w:trHeight w:val="838"/>
      </w:trPr>
      <w:tc>
        <w:tcPr>
          <w:tcW w:w="1340" w:type="dxa"/>
          <w:tcBorders>
            <w:top w:val="single" w:sz="4" w:space="0" w:color="FFFFFF" w:themeColor="background1"/>
            <w:left w:val="single" w:sz="4" w:space="0" w:color="FFFFFF" w:themeColor="background1"/>
            <w:bottom w:val="double" w:sz="4" w:space="0" w:color="1F497D" w:themeColor="text2"/>
            <w:right w:val="single" w:sz="4" w:space="0" w:color="FFFFFF" w:themeColor="background1"/>
          </w:tcBorders>
        </w:tcPr>
        <w:p w:rsidR="00EB5610" w:rsidRDefault="00EB5610" w:rsidP="008302C7">
          <w:pPr>
            <w:pStyle w:val="En-tte"/>
            <w:widowControl w:val="0"/>
            <w:jc w:val="center"/>
            <w:rPr>
              <w:b/>
              <w:i/>
              <w:position w:val="6"/>
              <w:szCs w:val="24"/>
            </w:rPr>
          </w:pPr>
          <w:r w:rsidRPr="000D2264">
            <w:rPr>
              <w:b/>
              <w:i/>
              <w:noProof/>
              <w:position w:val="6"/>
              <w:szCs w:val="24"/>
              <w:lang w:eastAsia="fr-FR"/>
            </w:rPr>
            <w:drawing>
              <wp:inline distT="0" distB="0" distL="0" distR="0" wp14:anchorId="4BA4D08F" wp14:editId="0CE1EB46">
                <wp:extent cx="905773" cy="715992"/>
                <wp:effectExtent l="19050" t="0" r="8627" b="0"/>
                <wp:docPr id="1" name="Image 5" descr="téléchargement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9" name="Image 30" descr="téléchargeme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650" cy="7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  <w:tcBorders>
            <w:top w:val="single" w:sz="4" w:space="0" w:color="FFFFFF" w:themeColor="background1"/>
            <w:left w:val="single" w:sz="4" w:space="0" w:color="FFFFFF" w:themeColor="background1"/>
            <w:bottom w:val="double" w:sz="4" w:space="0" w:color="1F497D" w:themeColor="text2"/>
            <w:right w:val="single" w:sz="4" w:space="0" w:color="FFFFFF" w:themeColor="background1"/>
          </w:tcBorders>
        </w:tcPr>
        <w:p w:rsidR="00EB5610" w:rsidRDefault="00EB5610" w:rsidP="000C7BC7">
          <w:pPr>
            <w:pStyle w:val="En-tte"/>
            <w:widowControl w:val="0"/>
            <w:jc w:val="lef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Université de Boumerdès </w:t>
          </w:r>
        </w:p>
        <w:p w:rsidR="00EB5610" w:rsidRDefault="00EB5610" w:rsidP="000C7BC7">
          <w:pPr>
            <w:pStyle w:val="En-tte"/>
            <w:widowControl w:val="0"/>
            <w:jc w:val="lef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Faculté de Technologie  </w:t>
          </w:r>
        </w:p>
        <w:p w:rsidR="00EB5610" w:rsidRDefault="00EB5610" w:rsidP="000C7BC7">
          <w:pPr>
            <w:pStyle w:val="En-tte"/>
            <w:widowControl w:val="0"/>
            <w:jc w:val="lef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Département : Ingénierie des systèmes électriques </w:t>
          </w:r>
        </w:p>
        <w:p w:rsidR="00EB5610" w:rsidRDefault="00EB5610" w:rsidP="000C7BC7">
          <w:pPr>
            <w:pStyle w:val="En-tte"/>
            <w:widowControl w:val="0"/>
            <w:jc w:val="lef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>Electronique des systèmes embarqués-M1-</w:t>
          </w:r>
        </w:p>
        <w:p w:rsidR="00EB5610" w:rsidRPr="00F06A2C" w:rsidRDefault="00EB5610" w:rsidP="000C7BC7">
          <w:pPr>
            <w:spacing w:after="0" w:line="240" w:lineRule="auto"/>
            <w:jc w:val="left"/>
            <w:rPr>
              <w:rFonts w:asciiTheme="majorHAnsi" w:hAnsiTheme="majorHAnsi"/>
              <w:b/>
            </w:rPr>
          </w:pPr>
          <w:r w:rsidRPr="00F06A2C">
            <w:rPr>
              <w:rFonts w:asciiTheme="majorHAnsi" w:eastAsiaTheme="majorEastAsia" w:hAnsiTheme="majorHAnsi" w:cstheme="majorBidi"/>
              <w:b/>
              <w:bCs/>
            </w:rPr>
            <w:t xml:space="preserve">Module : </w:t>
          </w:r>
          <w:r>
            <w:rPr>
              <w:rFonts w:asciiTheme="majorHAnsi" w:hAnsiTheme="majorHAnsi"/>
              <w:b/>
            </w:rPr>
            <w:t>Traitement avancé du signal</w:t>
          </w:r>
        </w:p>
        <w:p w:rsidR="00EB5610" w:rsidRDefault="00EB5610" w:rsidP="008302C7">
          <w:pPr>
            <w:pStyle w:val="En-tte"/>
            <w:widowControl w:val="0"/>
            <w:jc w:val="center"/>
            <w:rPr>
              <w:b/>
              <w:i/>
              <w:position w:val="6"/>
              <w:szCs w:val="24"/>
            </w:rPr>
          </w:pPr>
        </w:p>
      </w:tc>
      <w:tc>
        <w:tcPr>
          <w:tcW w:w="1340" w:type="dxa"/>
          <w:tcBorders>
            <w:top w:val="single" w:sz="4" w:space="0" w:color="FFFFFF" w:themeColor="background1"/>
            <w:left w:val="single" w:sz="4" w:space="0" w:color="FFFFFF" w:themeColor="background1"/>
            <w:bottom w:val="double" w:sz="4" w:space="0" w:color="1F497D" w:themeColor="text2"/>
            <w:right w:val="single" w:sz="4" w:space="0" w:color="FFFFFF" w:themeColor="background1"/>
          </w:tcBorders>
        </w:tcPr>
        <w:p w:rsidR="00EB5610" w:rsidRDefault="00EB5610" w:rsidP="008302C7">
          <w:pPr>
            <w:pStyle w:val="En-tte"/>
            <w:widowControl w:val="0"/>
            <w:rPr>
              <w:b/>
              <w:i/>
              <w:position w:val="6"/>
              <w:szCs w:val="24"/>
            </w:rPr>
          </w:pPr>
        </w:p>
      </w:tc>
    </w:tr>
  </w:tbl>
  <w:p w:rsidR="00426E81" w:rsidRPr="00EB5610" w:rsidRDefault="00426E81" w:rsidP="00EB5610">
    <w:pPr>
      <w:pStyle w:val="En-tt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B82"/>
    <w:multiLevelType w:val="hybridMultilevel"/>
    <w:tmpl w:val="A4DAF0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17B"/>
    <w:multiLevelType w:val="hybridMultilevel"/>
    <w:tmpl w:val="BE847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02DE"/>
    <w:multiLevelType w:val="hybridMultilevel"/>
    <w:tmpl w:val="4D5AE306"/>
    <w:lvl w:ilvl="0" w:tplc="F21495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164D"/>
    <w:multiLevelType w:val="hybridMultilevel"/>
    <w:tmpl w:val="A8846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2393"/>
    <w:multiLevelType w:val="hybridMultilevel"/>
    <w:tmpl w:val="6FEE9E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1119"/>
    <w:multiLevelType w:val="hybridMultilevel"/>
    <w:tmpl w:val="027216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3F6D"/>
    <w:multiLevelType w:val="hybridMultilevel"/>
    <w:tmpl w:val="7B7E32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F282A"/>
    <w:multiLevelType w:val="hybridMultilevel"/>
    <w:tmpl w:val="43546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D7B74"/>
    <w:multiLevelType w:val="hybridMultilevel"/>
    <w:tmpl w:val="BE847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36CBC"/>
    <w:multiLevelType w:val="hybridMultilevel"/>
    <w:tmpl w:val="43546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40"/>
    <w:rsid w:val="000434D6"/>
    <w:rsid w:val="00075224"/>
    <w:rsid w:val="00085DAD"/>
    <w:rsid w:val="000C7BC7"/>
    <w:rsid w:val="00145C92"/>
    <w:rsid w:val="00207D5F"/>
    <w:rsid w:val="00213C40"/>
    <w:rsid w:val="00222210"/>
    <w:rsid w:val="00256D2F"/>
    <w:rsid w:val="002742A4"/>
    <w:rsid w:val="002E126D"/>
    <w:rsid w:val="0035499A"/>
    <w:rsid w:val="00370141"/>
    <w:rsid w:val="003B7841"/>
    <w:rsid w:val="003D393F"/>
    <w:rsid w:val="00410B36"/>
    <w:rsid w:val="004124AB"/>
    <w:rsid w:val="00426E81"/>
    <w:rsid w:val="00481128"/>
    <w:rsid w:val="00493642"/>
    <w:rsid w:val="004A4F67"/>
    <w:rsid w:val="004A56FD"/>
    <w:rsid w:val="0053207C"/>
    <w:rsid w:val="005365A5"/>
    <w:rsid w:val="0059796F"/>
    <w:rsid w:val="005A1DEF"/>
    <w:rsid w:val="005B78D0"/>
    <w:rsid w:val="00611E04"/>
    <w:rsid w:val="006253B1"/>
    <w:rsid w:val="00716CE3"/>
    <w:rsid w:val="007838AA"/>
    <w:rsid w:val="0079076B"/>
    <w:rsid w:val="007A62DD"/>
    <w:rsid w:val="00845CCB"/>
    <w:rsid w:val="00864345"/>
    <w:rsid w:val="008D3C12"/>
    <w:rsid w:val="009216BF"/>
    <w:rsid w:val="009845C8"/>
    <w:rsid w:val="009F3882"/>
    <w:rsid w:val="00AB509E"/>
    <w:rsid w:val="00B62A78"/>
    <w:rsid w:val="00BA04B8"/>
    <w:rsid w:val="00BC3B06"/>
    <w:rsid w:val="00C56DEA"/>
    <w:rsid w:val="00C93647"/>
    <w:rsid w:val="00CE6BB7"/>
    <w:rsid w:val="00D773A5"/>
    <w:rsid w:val="00E57A58"/>
    <w:rsid w:val="00E842E5"/>
    <w:rsid w:val="00EB5610"/>
    <w:rsid w:val="00ED119A"/>
    <w:rsid w:val="00EF6618"/>
    <w:rsid w:val="00F5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CF73"/>
  <w15:docId w15:val="{B4160A46-E998-40A2-BDA6-71167A2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2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13C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3C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A5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96F"/>
  </w:style>
  <w:style w:type="paragraph" w:styleId="Pieddepage">
    <w:name w:val="footer"/>
    <w:basedOn w:val="Normal"/>
    <w:link w:val="PieddepageCar"/>
    <w:uiPriority w:val="99"/>
    <w:unhideWhenUsed/>
    <w:rsid w:val="0059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96F"/>
  </w:style>
  <w:style w:type="character" w:styleId="Textedelespacerserv">
    <w:name w:val="Placeholder Text"/>
    <w:basedOn w:val="Policepardfaut"/>
    <w:uiPriority w:val="99"/>
    <w:semiHidden/>
    <w:rsid w:val="00207D5F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207D5F"/>
    <w:pPr>
      <w:ind w:left="720"/>
      <w:contextualSpacing/>
      <w:jc w:val="left"/>
    </w:pPr>
    <w:rPr>
      <w:rFonts w:eastAsiaTheme="minorEastAsia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07D5F"/>
    <w:rPr>
      <w:rFonts w:eastAsiaTheme="minorEastAsia"/>
      <w:lang w:eastAsia="fr-FR"/>
    </w:rPr>
  </w:style>
  <w:style w:type="paragraph" w:customStyle="1" w:styleId="anormal">
    <w:name w:val="anormal"/>
    <w:basedOn w:val="Normal"/>
    <w:link w:val="anormalCar"/>
    <w:qFormat/>
    <w:rsid w:val="00F5255B"/>
    <w:rPr>
      <w:rFonts w:asciiTheme="majorHAnsi" w:hAnsiTheme="majorHAnsi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426E81"/>
    <w:pPr>
      <w:spacing w:after="0" w:line="240" w:lineRule="auto"/>
      <w:jc w:val="left"/>
    </w:pPr>
    <w:rPr>
      <w:rFonts w:eastAsiaTheme="minorEastAsia"/>
    </w:rPr>
  </w:style>
  <w:style w:type="character" w:customStyle="1" w:styleId="anormalCar">
    <w:name w:val="anormal Car"/>
    <w:basedOn w:val="Policepardfaut"/>
    <w:link w:val="anormal"/>
    <w:rsid w:val="00F5255B"/>
    <w:rPr>
      <w:rFonts w:asciiTheme="majorHAnsi" w:hAnsiTheme="majorHAnsi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26E8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imr</cp:lastModifiedBy>
  <cp:revision>6</cp:revision>
  <dcterms:created xsi:type="dcterms:W3CDTF">2021-10-24T09:28:00Z</dcterms:created>
  <dcterms:modified xsi:type="dcterms:W3CDTF">2022-12-07T12:40:00Z</dcterms:modified>
</cp:coreProperties>
</file>